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6"/>
        <w:ind w:firstLine="0"/>
        <w:jc w:val="center"/>
        <w:keepLines w:val="0"/>
        <w:keepNext/>
        <w:pageBreakBefore w:val="0"/>
        <w:widowControl/>
        <w:rPr>
          <w:rFonts w:hint="eastAsia" w:ascii="宋体" w:hAnsi="宋体"/>
          <w:b/>
          <w:color w:val="auto"/>
          <w:sz w:val="52"/>
          <w:szCs w:val="52"/>
          <w:highlight w:val="none"/>
        </w:rPr>
      </w:pPr>
      <w:r>
        <w:rPr>
          <w:rFonts w:hint="eastAsia" w:ascii="宋体" w:hAnsi="宋体"/>
          <w:b/>
          <w:bCs/>
          <w:color w:val="auto"/>
          <w:spacing w:val="80"/>
          <w:sz w:val="72"/>
          <w:szCs w:val="72"/>
          <w:highlight w:val="none"/>
          <w:lang w:val="en-US" w:eastAsia="zh-CN"/>
        </w:rPr>
        <w:t xml:space="preserve">赣榆区</w:t>
      </w:r>
      <w:r>
        <w:rPr>
          <w:rFonts w:hint="eastAsia" w:ascii="宋体" w:hAnsi="宋体"/>
          <w:b/>
          <w:bCs/>
          <w:color w:val="auto"/>
          <w:spacing w:val="80"/>
          <w:sz w:val="72"/>
          <w:szCs w:val="72"/>
          <w:highlight w:val="none"/>
        </w:rPr>
        <w:t xml:space="preserve">政府采购</w:t>
      </w:r>
      <w:r/>
    </w:p>
    <w:p>
      <w:pPr>
        <w:pStyle w:val="1116"/>
        <w:ind w:firstLine="0"/>
        <w:jc w:val="both"/>
        <w:keepLines w:val="0"/>
        <w:keepNext/>
        <w:pageBreakBefore w:val="0"/>
        <w:widowControl/>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1116"/>
        <w:ind w:firstLine="0"/>
        <w:jc w:val="center"/>
        <w:keepLines w:val="0"/>
        <w:keepNext/>
        <w:pageBreakBefore w:val="0"/>
        <w:widowControl/>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1116"/>
        <w:ind w:firstLine="0"/>
        <w:keepLines w:val="0"/>
        <w:keepNext/>
        <w:pageBreakBefore w:val="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pageBreakBefore w:val="0"/>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both"/>
        <w:keepLines w:val="0"/>
        <w:keepNext/>
        <w:pageBreakBefore w:val="0"/>
        <w:spacing w:line="360" w:lineRule="auto"/>
        <w:widowControl/>
        <w:rPr>
          <w:rFonts w:hint="eastAsia" w:ascii="宋体" w:hAnsi="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t xml:space="preserve">项目名称</w:t>
      </w:r>
      <w:r>
        <w:rPr>
          <w:rFonts w:hint="eastAsia" w:ascii="宋体" w:hAnsi="宋体" w:cs="宋体"/>
          <w:b/>
          <w:bCs/>
          <w:color w:val="auto"/>
          <w:sz w:val="32"/>
          <w:highlight w:val="none"/>
          <w:lang w:val="en-US" w:eastAsia="zh-CN"/>
        </w:rPr>
        <w:t xml:space="preserve">：赣榆区2025年度健康松树保护项目（专门面向中小企业）</w:t>
      </w:r>
      <w:r/>
    </w:p>
    <w:p>
      <w:pPr>
        <w:jc w:val="both"/>
        <w:keepLines w:val="0"/>
        <w:keepNext/>
        <w:pageBreakBefore w:val="0"/>
        <w:spacing w:line="360" w:lineRule="auto"/>
        <w:widowControl/>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项目编号：JSZC-320707-BHXM-C2025-0017</w:t>
      </w:r>
      <w:r/>
    </w:p>
    <w:p>
      <w:pPr>
        <w:jc w:val="both"/>
        <w:keepLines w:val="0"/>
        <w:keepNext/>
        <w:pageBreakBefore w:val="0"/>
        <w:spacing w:line="360" w:lineRule="auto"/>
        <w:widowControl/>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jc w:val="both"/>
        <w:keepLines w:val="0"/>
        <w:keepNext/>
        <w:pageBreakBefore w:val="0"/>
        <w:spacing w:line="360" w:lineRule="auto"/>
        <w:widowControl/>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jc w:val="both"/>
        <w:keepLines w:val="0"/>
        <w:keepNext/>
        <w:pageBreakBefore w:val="0"/>
        <w:spacing w:line="360" w:lineRule="auto"/>
        <w:widowControl/>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r>
      <w:r/>
    </w:p>
    <w:p>
      <w:pPr>
        <w:pStyle w:val="1116"/>
        <w:ind w:firstLine="0"/>
        <w:jc w:val="center"/>
        <w:keepLines w:val="0"/>
        <w:keepNext/>
        <w:pageBreakBefore w:val="0"/>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852"/>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keepLines w:val="0"/>
              <w:keepNext/>
              <w:pageBreakBefore w:val="0"/>
              <w:spacing w:line="360" w:lineRule="auto"/>
              <w:widowControl/>
              <w:rPr>
                <w:rFonts w:hint="eastAsia" w:ascii="宋体" w:hAnsi="宋体" w:eastAsia="宋体" w:cs="宋体"/>
                <w:color w:val="auto"/>
                <w:highlight w:val="none"/>
              </w:rPr>
            </w:pPr>
            <w:r/>
            <w:bookmarkStart w:id="0" w:name="OLE_LINK31"/>
            <w:r/>
            <w:bookmarkStart w:id="1" w:name="OLE_LINK4"/>
            <w:r>
              <w:rPr>
                <w:rFonts w:hint="eastAsia" w:ascii="宋体" w:hAnsi="宋体" w:eastAsia="宋体" w:cs="宋体"/>
                <w:b/>
                <w:bCs/>
                <w:color w:val="auto"/>
                <w:sz w:val="32"/>
                <w:highlight w:val="none"/>
              </w:rPr>
              <w:t xml:space="preserve">采   购   人：</w:t>
            </w:r>
            <w:r/>
          </w:p>
        </w:tc>
        <w:tc>
          <w:tcPr>
            <w:tcW w:w="6433" w:type="dxa"/>
            <w:vAlign w:val="center"/>
            <w:textDirection w:val="lrTb"/>
            <w:noWrap w:val="false"/>
          </w:tcPr>
          <w:p>
            <w:pPr>
              <w:pStyle w:val="1058"/>
              <w:keepLines w:val="0"/>
              <w:keepNext/>
              <w:pageBreakBefore w:val="0"/>
              <w:spacing w:line="360" w:lineRule="auto"/>
              <w:widowControl/>
              <w:rPr>
                <w:rFonts w:hint="eastAsia" w:ascii="宋体" w:hAnsi="宋体" w:eastAsia="宋体" w:cs="宋体"/>
                <w:b/>
                <w:bCs/>
                <w:color w:val="auto"/>
                <w:sz w:val="32"/>
                <w:szCs w:val="32"/>
                <w:highlight w:val="none"/>
                <w:lang w:val="en-US" w:eastAsia="zh-CN"/>
              </w:rPr>
            </w:pPr>
            <w:r>
              <w:rPr>
                <w:rFonts w:hint="eastAsia" w:hAnsi="宋体" w:cs="宋体"/>
                <w:b/>
                <w:bCs/>
                <w:color w:val="auto"/>
                <w:sz w:val="32"/>
                <w:szCs w:val="24"/>
                <w:highlight w:val="none"/>
                <w:lang w:val="en-US" w:eastAsia="zh-CN" w:bidi="ar-SA"/>
              </w:rPr>
              <w:t xml:space="preserve">连云港市赣榆区自然资源和规划局</w:t>
            </w:r>
            <w:bookmarkEnd w:id="0"/>
            <w:r/>
            <w:bookmarkEnd w:id="1"/>
            <w:r/>
            <w:r/>
          </w:p>
        </w:tc>
      </w:tr>
      <w:tr>
        <w:trPr>
          <w:trHeight w:val="797"/>
        </w:trPr>
        <w:tc>
          <w:tcPr>
            <w:tcW w:w="2467" w:type="dxa"/>
            <w:vAlign w:val="center"/>
            <w:textDirection w:val="lrTb"/>
            <w:noWrap w:val="false"/>
          </w:tcPr>
          <w:p>
            <w:pPr>
              <w:jc w:val="center"/>
              <w:keepLines w:val="0"/>
              <w:keepNext/>
              <w:pageBreakBefore w:val="0"/>
              <w:spacing w:line="360" w:lineRule="auto"/>
              <w:widowControl/>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bCs/>
                <w:color w:val="auto"/>
                <w:sz w:val="32"/>
                <w:szCs w:val="24"/>
                <w:highlight w:val="none"/>
                <w:lang w:val="en-US" w:eastAsia="zh-CN" w:bidi="ar-SA"/>
              </w:rPr>
              <w:t xml:space="preserve">采购代理机构：</w:t>
            </w:r>
            <w:r/>
          </w:p>
        </w:tc>
        <w:tc>
          <w:tcPr>
            <w:tcW w:w="6433" w:type="dxa"/>
            <w:vAlign w:val="center"/>
            <w:textDirection w:val="lrTb"/>
            <w:noWrap w:val="false"/>
          </w:tcPr>
          <w:p>
            <w:pPr>
              <w:pStyle w:val="1058"/>
              <w:keepLines w:val="0"/>
              <w:keepNext/>
              <w:pageBreakBefore w:val="0"/>
              <w:spacing w:line="360" w:lineRule="auto"/>
              <w:widowControl/>
              <w:rPr>
                <w:rFonts w:hint="eastAsia" w:ascii="宋体" w:hAnsi="宋体" w:eastAsia="宋体" w:cs="宋体"/>
                <w:b/>
                <w:bCs/>
                <w:color w:val="auto"/>
                <w:sz w:val="32"/>
                <w:szCs w:val="24"/>
                <w:highlight w:val="none"/>
                <w:lang w:val="en-US" w:eastAsia="zh-CN" w:bidi="ar-SA"/>
              </w:rPr>
            </w:pPr>
            <w:r>
              <w:rPr>
                <w:rFonts w:hint="eastAsia" w:ascii="宋体" w:hAnsi="宋体" w:eastAsia="宋体" w:cs="宋体"/>
                <w:b/>
                <w:bCs/>
                <w:color w:val="auto"/>
                <w:sz w:val="32"/>
                <w:szCs w:val="24"/>
                <w:highlight w:val="none"/>
                <w:lang w:val="en-US" w:eastAsia="zh-CN" w:bidi="ar-SA"/>
              </w:rPr>
              <w:t xml:space="preserve">江苏宝宏项目管理咨询有限公司</w:t>
            </w:r>
            <w:r/>
          </w:p>
        </w:tc>
      </w:tr>
    </w:tbl>
    <w:p>
      <w:pPr>
        <w:keepLines w:val="0"/>
        <w:keepNext/>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52"/>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058"/>
              <w:jc w:val="center"/>
              <w:keepLines w:val="0"/>
              <w:keepNext/>
              <w:pageBreakBefore w:val="0"/>
              <w:spacing w:line="360" w:lineRule="auto"/>
              <w:widowControl/>
              <w:rPr>
                <w:rFonts w:hint="eastAsia" w:ascii="宋体" w:hAnsi="宋体" w:eastAsia="宋体" w:cs="宋体"/>
                <w:b/>
                <w:color w:val="auto"/>
                <w:sz w:val="32"/>
                <w:szCs w:val="32"/>
                <w:highlight w:val="none"/>
                <w:lang w:val="en-US" w:eastAsia="zh-CN"/>
              </w:rPr>
            </w:pPr>
            <w:r/>
            <w:bookmarkStart w:id="2" w:name="OLE_LINK35"/>
            <w:r/>
            <w:bookmarkStart w:id="3" w:name="OLE_LINK12"/>
            <w:r>
              <w:rPr>
                <w:rFonts w:hint="eastAsia" w:hAnsi="宋体" w:eastAsia="宋体" w:cs="宋体"/>
                <w:b/>
                <w:color w:val="auto"/>
                <w:sz w:val="32"/>
                <w:szCs w:val="32"/>
                <w:highlight w:val="none"/>
                <w:lang w:val="en-US" w:eastAsia="zh-CN"/>
              </w:rPr>
              <w:t xml:space="preserve">2025年</w:t>
            </w:r>
            <w:r>
              <w:rPr>
                <w:rFonts w:hint="eastAsia" w:hAnsi="宋体" w:cs="宋体"/>
                <w:b/>
                <w:color w:val="auto"/>
                <w:sz w:val="32"/>
                <w:szCs w:val="32"/>
                <w:highlight w:val="none"/>
                <w:lang w:val="en-US" w:eastAsia="zh-CN"/>
              </w:rPr>
              <w:t xml:space="preserve">12</w:t>
            </w:r>
            <w:r>
              <w:rPr>
                <w:rFonts w:hint="eastAsia" w:hAnsi="宋体" w:eastAsia="宋体" w:cs="宋体"/>
                <w:b/>
                <w:color w:val="auto"/>
                <w:sz w:val="32"/>
                <w:szCs w:val="32"/>
                <w:highlight w:val="none"/>
                <w:lang w:val="en-US" w:eastAsia="zh-CN"/>
              </w:rPr>
              <w:t xml:space="preserve">月</w:t>
            </w:r>
            <w:bookmarkEnd w:id="2"/>
            <w:r/>
            <w:bookmarkEnd w:id="3"/>
            <w:r/>
            <w:r/>
          </w:p>
        </w:tc>
      </w:tr>
    </w:tbl>
    <w:p>
      <w:pPr>
        <w:jc w:val="center"/>
        <w:keepLines w:val="0"/>
        <w:keepNext/>
        <w:pageBreakBefore w:val="0"/>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00"/>
        <w:keepLines w:val="0"/>
        <w:keepNext/>
        <w:pageBreakBefore w:val="0"/>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pageBreakBefore w:val="0"/>
        <w:spacing w:line="480" w:lineRule="auto"/>
        <w:widowControl/>
        <w:rPr>
          <w:rFonts w:hint="eastAsia" w:ascii="宋体" w:hAnsi="宋体" w:eastAsia="宋体" w:cs="宋体"/>
          <w:b/>
          <w:bCs w:val="0"/>
          <w:color w:val="auto"/>
          <w:sz w:val="44"/>
          <w:szCs w:val="21"/>
          <w:highlight w:val="none"/>
        </w:rPr>
        <w:outlineLvl w:val="0"/>
      </w:pPr>
      <w:r/>
      <w:bookmarkStart w:id="4" w:name="_Toc344"/>
      <w:r/>
      <w:bookmarkStart w:id="5" w:name="_Toc465856610"/>
      <w:r/>
      <w:bookmarkStart w:id="6" w:name="_Toc31244"/>
      <w:r/>
      <w:bookmarkStart w:id="7" w:name="_Toc32469"/>
      <w:r>
        <w:rPr>
          <w:rFonts w:hint="eastAsia" w:ascii="宋体" w:hAnsi="宋体" w:eastAsia="宋体" w:cs="宋体"/>
          <w:b/>
          <w:bCs w:val="0"/>
          <w:color w:val="auto"/>
          <w:sz w:val="44"/>
          <w:szCs w:val="21"/>
          <w:highlight w:val="none"/>
        </w:rPr>
        <w:t xml:space="preserve">目 录</w:t>
      </w:r>
      <w:bookmarkEnd w:id="4"/>
      <w:r/>
      <w:bookmarkEnd w:id="5"/>
      <w:r/>
      <w:bookmarkEnd w:id="6"/>
      <w:r/>
      <w:bookmarkEnd w:id="7"/>
      <w:r/>
      <w:r/>
    </w:p>
    <w:p>
      <w:pPr>
        <w:pStyle w:val="860"/>
        <w:keepLines w:val="0"/>
        <w:keepNext/>
        <w:pageBreakBefore w:val="0"/>
        <w:widowControl/>
        <w:rPr>
          <w:rFonts w:hint="eastAsia" w:ascii="宋体" w:hAnsi="宋体" w:eastAsia="宋体" w:cs="宋体"/>
          <w:b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p>
    <w:p>
      <w:pPr>
        <w:pStyle w:val="1128"/>
        <w:keepLines w:val="0"/>
        <w:keepNext/>
        <w:pageBreakBefore w:val="0"/>
        <w:spacing w:line="480" w:lineRule="auto"/>
        <w:widowControl/>
        <w:tabs>
          <w:tab w:val="right" w:pos="9451"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end"/>
      </w:r>
      <w:bookmarkStart w:id="8" w:name="_Toc465856611"/>
      <w:r/>
      <w:bookmarkStart w:id="9" w:name="_Toc21244"/>
      <w:r/>
      <w:r/>
    </w:p>
    <w:p>
      <w:pPr>
        <w:pStyle w:val="1128"/>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TOC \o "1-1" \h \u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_Toc15348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val="en-US" w:eastAsia="zh-CN"/>
        </w:rPr>
        <w:t xml:space="preserve">第一章 </w:t>
      </w:r>
      <w:r>
        <w:rPr>
          <w:rFonts w:hint="eastAsia" w:ascii="宋体" w:hAnsi="宋体" w:eastAsia="宋体" w:cs="宋体"/>
          <w:bCs/>
          <w:color w:val="auto"/>
          <w:sz w:val="28"/>
          <w:szCs w:val="72"/>
          <w:highlight w:val="none"/>
          <w:lang w:eastAsia="zh-CN"/>
        </w:rPr>
        <w:t xml:space="preserve">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fldChar w:fldCharType="end"/>
      </w:r>
      <w:r/>
    </w:p>
    <w:p>
      <w:pPr>
        <w:pStyle w:val="1128"/>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_Toc8218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_Toc8218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eastAsia="zh-CN"/>
        </w:rPr>
        <w:fldChar w:fldCharType="end"/>
      </w:r>
      <w:r/>
    </w:p>
    <w:p>
      <w:pPr>
        <w:pStyle w:val="1128"/>
        <w:keepLines w:val="0"/>
        <w:keepNext/>
        <w:pageBreakBefore w:val="0"/>
        <w:spacing w:line="360" w:lineRule="auto"/>
        <w:widowControl/>
        <w:tabs>
          <w:tab w:val="right" w:pos="9451" w:leader="dot"/>
        </w:tabs>
        <w:rPr>
          <w:rFonts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_Toc31203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0</w:t>
      </w:r>
      <w:r/>
    </w:p>
    <w:p>
      <w:pPr>
        <w:pStyle w:val="1128"/>
        <w:keepLines w:val="0"/>
        <w:keepNext/>
        <w:pageBreakBefore w:val="0"/>
        <w:spacing w:line="360" w:lineRule="auto"/>
        <w:widowControl/>
        <w:tabs>
          <w:tab w:val="right" w:pos="9451" w:leader="dot"/>
        </w:tabs>
        <w:rPr>
          <w:rFonts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_Toc474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lang w:eastAsia="zh-CN"/>
        </w:rPr>
        <w:t xml:space="preserve">第四章</w:t>
      </w:r>
      <w:r>
        <w:rPr>
          <w:rFonts w:hint="eastAsia" w:ascii="宋体" w:hAnsi="宋体" w:eastAsia="宋体" w:cs="宋体"/>
          <w:bCs/>
          <w:color w:val="auto"/>
          <w:sz w:val="28"/>
          <w:szCs w:val="72"/>
          <w:highlight w:val="none"/>
          <w:lang w:val="en-US" w:eastAsia="zh-CN"/>
        </w:rPr>
        <w:t xml:space="preserve"> </w:t>
      </w:r>
      <w:r>
        <w:rPr>
          <w:rFonts w:hint="eastAsia" w:ascii="宋体" w:hAnsi="宋体" w:eastAsia="宋体" w:cs="宋体"/>
          <w:bCs/>
          <w:color w:val="auto"/>
          <w:sz w:val="28"/>
          <w:szCs w:val="72"/>
          <w:highlight w:val="none"/>
          <w:lang w:eastAsia="zh-CN"/>
        </w:rPr>
        <w:t xml:space="preserve">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6</w:t>
      </w:r>
      <w:r/>
    </w:p>
    <w:p>
      <w:pPr>
        <w:pStyle w:val="1128"/>
        <w:keepLines w:val="0"/>
        <w:keepNext/>
        <w:pageBreakBefore w:val="0"/>
        <w:spacing w:line="360" w:lineRule="auto"/>
        <w:widowControl/>
        <w:tabs>
          <w:tab w:val="right" w:pos="9451" w:leader="dot"/>
        </w:tabs>
        <w:rPr>
          <w:rFonts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_Toc23658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val="en-US" w:eastAsia="zh-CN"/>
        </w:rPr>
        <w:t xml:space="preserve">五</w:t>
      </w:r>
      <w:r>
        <w:rPr>
          <w:rFonts w:hint="eastAsia" w:ascii="宋体" w:hAnsi="宋体" w:eastAsia="宋体" w:cs="宋体"/>
          <w:bCs/>
          <w:color w:val="auto"/>
          <w:sz w:val="28"/>
          <w:szCs w:val="72"/>
          <w:highlight w:val="none"/>
        </w:rPr>
        <w:t xml:space="preserve">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0</w:t>
      </w:r>
      <w:r/>
    </w:p>
    <w:p>
      <w:pPr>
        <w:pStyle w:val="1128"/>
        <w:keepLines w:val="0"/>
        <w:keepNext/>
        <w:pageBreakBefore w:val="0"/>
        <w:spacing w:line="360" w:lineRule="auto"/>
        <w:widowControl/>
        <w:tabs>
          <w:tab w:val="right" w:pos="9451" w:leader="dot"/>
        </w:tabs>
        <w:rPr>
          <w:rFonts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eastAsia="zh-CN"/>
        </w:rPr>
        <w:fldChar w:fldCharType="begin"/>
      </w:r>
      <w:r>
        <w:rPr>
          <w:rFonts w:hint="eastAsia" w:ascii="宋体" w:hAnsi="宋体" w:eastAsia="宋体" w:cs="宋体"/>
          <w:color w:val="auto"/>
          <w:sz w:val="28"/>
          <w:szCs w:val="28"/>
          <w:highlight w:val="none"/>
          <w:lang w:eastAsia="zh-CN"/>
        </w:rPr>
        <w:instrText xml:space="preserve"> HYPERLINK \l _Toc27402 </w:instrText>
      </w:r>
      <w:r>
        <w:rPr>
          <w:rFonts w:hint="eastAsia" w:ascii="宋体" w:hAnsi="宋体" w:eastAsia="宋体" w:cs="宋体"/>
          <w:color w:val="auto"/>
          <w:sz w:val="28"/>
          <w:szCs w:val="28"/>
          <w:highlight w:val="none"/>
          <w:lang w:eastAsia="zh-CN"/>
        </w:rPr>
        <w:fldChar w:fldCharType="separate"/>
      </w:r>
      <w:r>
        <w:rPr>
          <w:rFonts w:hint="eastAsia" w:ascii="宋体" w:hAnsi="宋体" w:eastAsia="宋体" w:cs="宋体"/>
          <w:bCs/>
          <w:color w:val="auto"/>
          <w:sz w:val="28"/>
          <w:szCs w:val="72"/>
          <w:highlight w:val="none"/>
        </w:rPr>
        <w:t xml:space="preserve">第</w:t>
      </w:r>
      <w:r>
        <w:rPr>
          <w:rFonts w:hint="eastAsia" w:ascii="宋体" w:hAnsi="宋体" w:eastAsia="宋体" w:cs="宋体"/>
          <w:bCs/>
          <w:color w:val="auto"/>
          <w:sz w:val="28"/>
          <w:szCs w:val="72"/>
          <w:highlight w:val="none"/>
          <w:lang w:val="en-US" w:eastAsia="zh-CN"/>
        </w:rPr>
        <w:t xml:space="preserve">六</w:t>
      </w:r>
      <w:r>
        <w:rPr>
          <w:rFonts w:hint="eastAsia" w:ascii="宋体" w:hAnsi="宋体" w:eastAsia="宋体" w:cs="宋体"/>
          <w:bCs/>
          <w:color w:val="auto"/>
          <w:sz w:val="28"/>
          <w:szCs w:val="72"/>
          <w:highlight w:val="none"/>
        </w:rPr>
        <w:t xml:space="preserve">章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fldChar w:fldCharType="end"/>
      </w:r>
      <w:r>
        <w:rPr>
          <w:rFonts w:hint="eastAsia" w:ascii="宋体" w:hAnsi="宋体" w:eastAsia="宋体" w:cs="宋体"/>
          <w:color w:val="auto"/>
          <w:sz w:val="28"/>
          <w:szCs w:val="28"/>
          <w:highlight w:val="none"/>
          <w:lang w:val="en-US" w:eastAsia="zh-CN"/>
        </w:rPr>
        <w:t xml:space="preserve">4</w:t>
      </w:r>
      <w:r/>
    </w:p>
    <w:p>
      <w:pPr>
        <w:pStyle w:val="1128"/>
        <w:keepLines w:val="0"/>
        <w:keepNext/>
        <w:pageBreakBefore w:val="0"/>
        <w:spacing w:line="360" w:lineRule="auto"/>
        <w:widowControl/>
        <w:tabs>
          <w:tab w:val="right" w:pos="9451"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fldChar w:fldCharType="end"/>
      </w:r>
      <w:r/>
    </w:p>
    <w:p>
      <w:pPr>
        <w:pStyle w:val="1037"/>
        <w:jc w:val="center"/>
        <w:keepLines w:val="0"/>
        <w:keepNext/>
        <w:pageBreakBefore w:val="0"/>
        <w:spacing w:line="480" w:lineRule="auto"/>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37"/>
        <w:jc w:val="center"/>
        <w:keepLines w:val="0"/>
        <w:keepNext/>
        <w:pageBreakBefore w:val="0"/>
        <w:widowControl/>
        <w:rPr>
          <w:rFonts w:hint="eastAsia" w:ascii="宋体" w:hAnsi="宋体" w:eastAsia="宋体" w:cs="宋体"/>
          <w:color w:val="auto"/>
          <w:sz w:val="44"/>
          <w:szCs w:val="44"/>
          <w:highlight w:val="none"/>
        </w:rPr>
        <w:outlineLvl w:val="9"/>
      </w:pPr>
      <w:r/>
      <w:bookmarkStart w:id="10" w:name="_Toc9367"/>
      <w:r/>
      <w:r/>
    </w:p>
    <w:p>
      <w:pPr>
        <w:pStyle w:val="1037"/>
        <w:jc w:val="center"/>
        <w:keepLines w:val="0"/>
        <w:keepNext/>
        <w:pageBreakBefore w:val="0"/>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pStyle w:val="1037"/>
        <w:jc w:val="center"/>
        <w:keepLines w:val="0"/>
        <w:keepNext/>
        <w:pageBreakBefore w:val="0"/>
        <w:widowControl/>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keepLines w:val="0"/>
        <w:keepNext/>
        <w:pageBreakBefore w:val="0"/>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keepLines w:val="0"/>
        <w:keepNext/>
        <w:pageBreakBefore w:val="0"/>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bookmarkEnd w:id="8"/>
      <w:bookmarkEnd w:id="9"/>
      <w:bookmarkEnd w:id="10"/>
      <w:r/>
    </w:p>
    <w:p>
      <w:pPr>
        <w:pStyle w:val="1037"/>
        <w:jc w:val="both"/>
        <w:keepLines w:val="0"/>
        <w:keepNext/>
        <w:pageBreakBefore w:val="0"/>
        <w:widowControl/>
        <w:rPr>
          <w:rFonts w:hint="eastAsia" w:ascii="宋体" w:hAnsi="宋体" w:eastAsia="宋体" w:cs="宋体"/>
          <w:color w:val="auto"/>
          <w:sz w:val="44"/>
          <w:szCs w:val="44"/>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080" w:bottom="1440" w:left="1080" w:header="0" w:footer="0" w:gutter="0"/>
          <w:pgNumType w:start="1"/>
          <w:cols w:num="1" w:sep="0" w:space="1701" w:equalWidth="1"/>
          <w:docGrid w:linePitch="360"/>
        </w:sectPr>
        <w:outlineLvl w:val="9"/>
      </w:pPr>
      <w:r>
        <w:rPr>
          <w:rFonts w:hint="eastAsia" w:ascii="宋体" w:hAnsi="宋体" w:eastAsia="宋体" w:cs="宋体"/>
          <w:color w:val="auto"/>
          <w:sz w:val="44"/>
          <w:szCs w:val="44"/>
          <w:highlight w:val="none"/>
        </w:rPr>
      </w:r>
      <w:r/>
    </w:p>
    <w:p>
      <w:pPr>
        <w:pStyle w:val="1037"/>
        <w:numPr>
          <w:ilvl w:val="0"/>
          <w:numId w:val="4"/>
        </w:numPr>
        <w:jc w:val="center"/>
        <w:keepLines w:val="0"/>
        <w:keepNext/>
        <w:pageBreakBefore w:val="0"/>
        <w:spacing w:line="360" w:lineRule="auto"/>
        <w:widowControl/>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eastAsia="zh-CN"/>
        </w:rPr>
        <w:t xml:space="preserve">竞争性磋商采购公告</w:t>
      </w:r>
      <w:r/>
    </w:p>
    <w:p>
      <w:pPr>
        <w:ind w:firstLine="480"/>
        <w:keepLines w:val="0"/>
        <w:keepNext/>
        <w:pageBreakBefore w:val="0"/>
        <w:spacing w:line="560" w:lineRule="exact"/>
        <w:widowControl/>
        <w:rPr>
          <w:rFonts w:hint="eastAsia" w:ascii="宋体" w:hAnsi="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28359012"/>
      <w:r/>
      <w:bookmarkStart w:id="12" w:name="_Toc35393798"/>
      <w:r/>
      <w:bookmarkStart w:id="13" w:name="_Toc35393629"/>
      <w:r/>
      <w:bookmarkStart w:id="14" w:name="_Toc28359089"/>
      <w:r>
        <w:rPr>
          <w:rFonts w:hint="eastAsia" w:ascii="宋体" w:hAnsi="宋体" w:cs="宋体"/>
          <w:color w:val="auto"/>
          <w:sz w:val="24"/>
          <w:szCs w:val="28"/>
          <w:highlight w:val="none"/>
        </w:rPr>
        <w:t xml:space="preserve">项目概况</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u w:val="single"/>
          <w:lang w:eastAsia="zh-CN"/>
        </w:rPr>
        <w:t xml:space="preserve">赣榆区2025年度健康松树保护项目（专门面向中小企业）</w:t>
      </w:r>
      <w:r>
        <w:rPr>
          <w:rFonts w:hint="eastAsia" w:ascii="宋体" w:hAnsi="宋体" w:cs="宋体"/>
          <w:color w:val="auto"/>
          <w:sz w:val="24"/>
          <w:szCs w:val="28"/>
          <w:highlight w:val="none"/>
        </w:rPr>
        <w:t xml:space="preserve">的潜在供应商应在</w:t>
      </w:r>
      <w:r>
        <w:rPr>
          <w:rFonts w:hint="eastAsia" w:ascii="宋体" w:hAnsi="宋体" w:eastAsia="宋体" w:cs="宋体"/>
          <w:i w:val="0"/>
          <w:iCs w:val="0"/>
          <w:color w:val="auto"/>
          <w:sz w:val="24"/>
          <w:szCs w:val="24"/>
          <w:highlight w:val="none"/>
          <w:u w:val="single"/>
        </w:rPr>
        <w:t xml:space="preserve">“江苏政府采购网”自行免费下载</w:t>
      </w:r>
      <w:r>
        <w:rPr>
          <w:rFonts w:hint="eastAsia" w:ascii="宋体" w:hAnsi="宋体" w:cs="宋体"/>
          <w:color w:val="auto"/>
          <w:sz w:val="24"/>
          <w:szCs w:val="28"/>
          <w:highlight w:val="none"/>
        </w:rPr>
        <w:t xml:space="preserve">竞争性磋商文件，并于</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12   </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26</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szCs w:val="28"/>
          <w:highlight w:val="none"/>
        </w:rPr>
        <w:t xml:space="preserve">（北京时间）前上传电子响应文件。 </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11"/>
      <w:r/>
      <w:bookmarkEnd w:id="12"/>
      <w:r/>
      <w:bookmarkEnd w:id="13"/>
      <w:r/>
      <w:bookmarkEnd w:id="14"/>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赣榆区2025年度健康松树保护项目（专门面向中小企业）</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标段编号：JSZC-320707-BHXM-C2025-0017</w:t>
      </w:r>
      <w:r>
        <w:rPr>
          <w:rFonts w:hint="eastAsia" w:ascii="宋体" w:hAnsi="宋体" w:cs="宋体"/>
          <w:color w:val="auto"/>
          <w:sz w:val="24"/>
          <w:szCs w:val="24"/>
          <w:highlight w:val="none"/>
          <w:lang w:val="en-US" w:eastAsia="zh-CN"/>
        </w:rPr>
        <w:t xml:space="preserve"> </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人民币</w:t>
      </w:r>
      <w:r>
        <w:rPr>
          <w:rFonts w:hint="eastAsia" w:ascii="宋体" w:hAnsi="宋体" w:cs="宋体"/>
          <w:color w:val="auto"/>
          <w:sz w:val="24"/>
          <w:szCs w:val="24"/>
          <w:highlight w:val="none"/>
          <w:lang w:val="en-US" w:eastAsia="zh-CN"/>
        </w:rPr>
        <w:t xml:space="preserve">114.5</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eastAsia="zh-CN"/>
        </w:rPr>
        <w:t xml:space="preserve">；</w:t>
      </w:r>
      <w:r/>
    </w:p>
    <w:p>
      <w:pPr>
        <w:ind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i w:val="0"/>
          <w:iCs w:val="0"/>
          <w:color w:val="auto"/>
          <w:sz w:val="24"/>
          <w:szCs w:val="24"/>
          <w:highlight w:val="none"/>
          <w:lang w:val="en-US" w:eastAsia="zh-CN"/>
        </w:rPr>
        <w:t xml:space="preserve">人民币</w:t>
      </w:r>
      <w:r>
        <w:rPr>
          <w:rFonts w:hint="eastAsia" w:ascii="宋体" w:hAnsi="宋体" w:cs="宋体"/>
          <w:i w:val="0"/>
          <w:iCs w:val="0"/>
          <w:color w:val="auto"/>
          <w:sz w:val="24"/>
          <w:szCs w:val="24"/>
          <w:highlight w:val="none"/>
          <w:lang w:val="en-US" w:eastAsia="zh-CN"/>
        </w:rPr>
        <w:t xml:space="preserve">114.5</w:t>
      </w:r>
      <w:r>
        <w:rPr>
          <w:rFonts w:hint="eastAsia" w:ascii="宋体" w:hAnsi="宋体" w:eastAsia="宋体" w:cs="宋体"/>
          <w:i w:val="0"/>
          <w:iCs w:val="0"/>
          <w:color w:val="auto"/>
          <w:sz w:val="24"/>
          <w:szCs w:val="24"/>
          <w:highlight w:val="none"/>
          <w:lang w:val="en-US" w:eastAsia="zh-CN"/>
        </w:rPr>
        <w:t xml:space="preserve">万元</w:t>
      </w:r>
      <w:r>
        <w:rPr>
          <w:rFonts w:hint="eastAsia" w:ascii="宋体" w:hAnsi="宋体" w:cs="宋体"/>
          <w:i w:val="0"/>
          <w:iCs w:val="0"/>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超出最高限价的按无效响应处理；</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w:t>
      </w:r>
      <w:r>
        <w:rPr>
          <w:rFonts w:hint="eastAsia" w:ascii="宋体" w:hAnsi="宋体" w:cs="宋体"/>
          <w:color w:val="auto"/>
          <w:sz w:val="24"/>
          <w:szCs w:val="24"/>
          <w:highlight w:val="none"/>
          <w:lang w:val="en-US" w:eastAsia="zh-CN"/>
        </w:rPr>
        <w:t xml:space="preserve">需求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《松材线虫病防治技术方案（202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开展赣榆区全区1</w:t>
      </w:r>
      <w:r>
        <w:rPr>
          <w:rFonts w:hint="eastAsia" w:ascii="宋体" w:hAnsi="宋体" w:eastAsia="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00亩松林的枯死木清理、松林监测、秋季普查、打孔注药</w:t>
      </w:r>
      <w:r>
        <w:rPr>
          <w:rFonts w:hint="eastAsia" w:ascii="宋体" w:hAnsi="宋体" w:eastAsia="宋体" w:cs="宋体"/>
          <w:color w:val="auto"/>
          <w:sz w:val="24"/>
          <w:szCs w:val="24"/>
          <w:highlight w:val="none"/>
          <w:lang w:eastAsia="zh-CN"/>
        </w:rPr>
        <w:t xml:space="preserve">、增挂诱捕器</w:t>
      </w:r>
      <w:r>
        <w:rPr>
          <w:rFonts w:hint="eastAsia" w:ascii="宋体" w:hAnsi="宋体" w:eastAsia="宋体" w:cs="宋体"/>
          <w:color w:val="auto"/>
          <w:sz w:val="24"/>
          <w:szCs w:val="24"/>
          <w:highlight w:val="none"/>
        </w:rPr>
        <w:t xml:space="preserve">等工作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具体需求详见项目需</w:t>
      </w:r>
      <w:r>
        <w:rPr>
          <w:rFonts w:hint="eastAsia" w:ascii="宋体" w:hAnsi="宋体" w:eastAsia="宋体" w:cs="宋体"/>
          <w:color w:val="auto"/>
          <w:sz w:val="24"/>
          <w:szCs w:val="24"/>
          <w:highlight w:val="none"/>
          <w:lang w:val="en-US" w:eastAsia="zh-CN"/>
        </w:rPr>
        <w:t xml:space="preserve">求。</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成果要求：符合国家、省、市主管部门相关标准。</w:t>
      </w:r>
      <w:r/>
    </w:p>
    <w:p>
      <w:pPr>
        <w:ind w:right="0" w:firstLine="480"/>
        <w:jc w:val="left"/>
        <w:keepLines w:val="0"/>
        <w:keepNext/>
        <w:pageBreakBefore w:val="0"/>
        <w:spacing w:line="56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对项目需求部分的询问、质疑请与采购人联系，由采购人负责答复；</w:t>
      </w:r>
      <w:r/>
    </w:p>
    <w:p>
      <w:pPr>
        <w:ind w:firstLine="480"/>
        <w:keepLines w:val="0"/>
        <w:keepNext/>
        <w:pageBreakBefore w:val="0"/>
        <w:spacing w:line="440" w:lineRule="exact"/>
        <w:widowControl/>
        <w:rPr>
          <w:rFonts w:hint="eastAsia" w:ascii="宋体" w:hAnsi="宋体" w:eastAsia="宋体" w:cs="宋体"/>
          <w:b w:val="0"/>
          <w:bCs w:val="0"/>
          <w:color w:val="auto"/>
          <w:highlight w:val="none"/>
        </w:rPr>
      </w:pPr>
      <w:r>
        <w:rPr>
          <w:rFonts w:hint="eastAsia" w:ascii="宋体" w:hAnsi="宋体" w:eastAsia="宋体" w:cs="宋体"/>
          <w:color w:val="auto"/>
          <w:sz w:val="24"/>
          <w:szCs w:val="24"/>
          <w:highlight w:val="none"/>
          <w:lang w:val="en-US" w:eastAsia="zh-CN"/>
        </w:rPr>
        <w:t xml:space="preserve">合同履行期限：自合同签订之日起至2026年11月底完成。</w:t>
      </w:r>
      <w:r/>
    </w:p>
    <w:p>
      <w:pPr>
        <w:ind w:firstLine="480"/>
        <w:keepLines w:val="0"/>
        <w:keepNext/>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本项目（是/否）接受联合体：否 </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bookmarkStart w:id="15" w:name="_Toc28359013"/>
      <w:r/>
      <w:bookmarkStart w:id="16" w:name="_Toc28359090"/>
      <w:r/>
      <w:bookmarkStart w:id="17" w:name="_Toc35393799"/>
      <w:r/>
      <w:bookmarkStart w:id="18" w:name="_Toc35393630"/>
      <w:r>
        <w:rPr>
          <w:rFonts w:hint="eastAsia" w:ascii="宋体" w:hAnsi="宋体" w:eastAsia="宋体" w:cs="宋体"/>
          <w:b/>
          <w:bCs w:val="0"/>
          <w:color w:val="auto"/>
          <w:sz w:val="24"/>
          <w:szCs w:val="24"/>
          <w:highlight w:val="none"/>
        </w:rPr>
        <w:t xml:space="preserve">二、申请人的资格要求</w:t>
      </w:r>
      <w:bookmarkEnd w:id="15"/>
      <w:r/>
      <w:bookmarkEnd w:id="16"/>
      <w:r/>
      <w:bookmarkEnd w:id="17"/>
      <w:r/>
      <w:bookmarkEnd w:id="18"/>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pPr>
      <w:r/>
      <w:bookmarkStart w:id="19" w:name="_Toc28359091"/>
      <w:r/>
      <w:bookmarkStart w:id="20" w:name="_Toc35393631"/>
      <w:r/>
      <w:bookmarkStart w:id="21" w:name="_Toc35393800"/>
      <w:r/>
      <w:bookmarkStart w:id="22" w:name="_Toc28359014"/>
      <w:r>
        <w:rPr>
          <w:rFonts w:hint="eastAsia" w:ascii="宋体" w:hAnsi="宋体" w:eastAsia="宋体" w:cs="宋体"/>
          <w:i w:val="0"/>
          <w:iCs w:val="0"/>
          <w:color w:val="auto"/>
          <w:sz w:val="24"/>
          <w:szCs w:val="24"/>
          <w:highlight w:val="none"/>
        </w:rPr>
        <w:t xml:space="preserve">1、满足《中华人民共和国政府采购法》第二十二条规定，并提供以下材料：</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（1）法人或者其他组织的营业执照等证明文件，自然人的身份证明；</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（2）具有良好的商业信誉和健全的财务会计制度；</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（3）依法缴纳税收和社会保障资金的相关材料；</w:t>
      </w:r>
      <w:r/>
    </w:p>
    <w:p>
      <w:pPr>
        <w:ind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i w:val="0"/>
          <w:iCs w:val="0"/>
          <w:color w:val="auto"/>
          <w:sz w:val="24"/>
          <w:szCs w:val="24"/>
          <w:highlight w:val="none"/>
        </w:rPr>
        <w:t xml:space="preserve">（4）具备履行合同所必需的设备和专业技术能力的声明及证明材料；</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（5）参加政府采购活动前三年内在经营活动中没有重大违法记录的书面声明。</w:t>
      </w:r>
      <w:r/>
    </w:p>
    <w:p>
      <w:pPr>
        <w:ind w:firstLine="480"/>
        <w:jc w:val="left"/>
        <w:keepLines w:val="0"/>
        <w:keepNext/>
        <w:pageBreakBefore w:val="0"/>
        <w:spacing w:line="560" w:lineRule="exact"/>
        <w:widowControl/>
        <w:rPr>
          <w:rFonts w:hint="eastAsia" w:ascii="宋体" w:hAnsi="宋体" w:eastAsia="宋体" w:cs="宋体"/>
          <w:b w:val="0"/>
          <w:bCs w:val="0"/>
          <w:i w:val="0"/>
          <w:iCs w:val="0"/>
          <w:color w:val="auto"/>
          <w:sz w:val="24"/>
          <w:szCs w:val="24"/>
          <w:highlight w:val="none"/>
          <w:lang w:eastAsia="zh-CN"/>
        </w:rPr>
        <w:outlineLvl w:val="9"/>
      </w:pPr>
      <w:r>
        <w:rPr>
          <w:rFonts w:hint="eastAsia" w:ascii="宋体" w:hAnsi="宋体" w:eastAsia="宋体" w:cs="宋体"/>
          <w:b w:val="0"/>
          <w:bCs w:val="0"/>
          <w:i w:val="0"/>
          <w:iCs w:val="0"/>
          <w:color w:val="auto"/>
          <w:sz w:val="24"/>
          <w:szCs w:val="24"/>
          <w:highlight w:val="none"/>
        </w:rPr>
        <w:t xml:space="preserve">注：根据连财购〔2023〕4号文件精神，第（2）、（3）项可以提供《财务状况报告及税收、社会保障资金缴纳情况承诺函》</w:t>
      </w:r>
      <w:r>
        <w:rPr>
          <w:rFonts w:hint="eastAsia" w:ascii="宋体" w:hAnsi="宋体" w:eastAsia="宋体" w:cs="宋体"/>
          <w:b w:val="0"/>
          <w:bCs w:val="0"/>
          <w:i w:val="0"/>
          <w:iCs w:val="0"/>
          <w:color w:val="auto"/>
          <w:sz w:val="24"/>
          <w:szCs w:val="24"/>
          <w:highlight w:val="none"/>
          <w:lang w:eastAsia="zh-CN"/>
        </w:rPr>
        <w:t xml:space="preserve">；</w:t>
      </w:r>
      <w:r/>
    </w:p>
    <w:p>
      <w:pPr>
        <w:numPr>
          <w:ilvl w:val="0"/>
          <w:numId w:val="5"/>
        </w:numPr>
        <w:ind w:left="0" w:right="0" w:firstLine="482"/>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落实政府采购政策需满足的资格要求</w:t>
      </w:r>
      <w:r>
        <w:rPr>
          <w:rFonts w:hint="eastAsia" w:ascii="宋体" w:hAnsi="宋体" w:eastAsia="宋体" w:cs="宋体"/>
          <w:i w:val="0"/>
          <w:iCs w:val="0"/>
          <w:color w:val="auto"/>
          <w:sz w:val="24"/>
          <w:szCs w:val="24"/>
          <w:highlight w:val="none"/>
        </w:rPr>
        <w:t xml:space="preserve">：</w:t>
      </w:r>
      <w:r/>
    </w:p>
    <w:p>
      <w:pPr>
        <w:numPr>
          <w:ilvl w:val="0"/>
          <w:numId w:val="0"/>
        </w:numPr>
        <w:ind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i w:val="0"/>
          <w:iCs w:val="0"/>
          <w:color w:val="auto"/>
          <w:sz w:val="24"/>
          <w:szCs w:val="24"/>
          <w:highlight w:val="none"/>
        </w:rPr>
        <w:t xml:space="preserve">本项目专门面向中小企业采购</w:t>
      </w:r>
      <w:r>
        <w:rPr>
          <w:rFonts w:hint="eastAsia" w:ascii="宋体" w:hAnsi="宋体" w:eastAsia="宋体" w:cs="宋体"/>
          <w:i w:val="0"/>
          <w:iCs w:val="0"/>
          <w:color w:val="auto"/>
          <w:sz w:val="24"/>
          <w:szCs w:val="24"/>
          <w:highlight w:val="none"/>
        </w:rPr>
        <w:t xml:space="preserve">，符合文件要求的供应商应提交《中小企业声明函》，并上传至电子</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文件中。</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支持绿色发展</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2.3政府采购项目执行《财政部 生态环境部 工业和信息化部关于印发&lt;绿色数据中心政府采购需求标准（试行）&gt;的通知》（财库〔2023〕7号）相关要求。</w:t>
      </w:r>
      <w:r/>
    </w:p>
    <w:p>
      <w:pPr>
        <w:ind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numPr>
          <w:ilvl w:val="0"/>
          <w:numId w:val="5"/>
        </w:numPr>
        <w:ind w:left="0" w:right="0" w:firstLine="482"/>
        <w:jc w:val="left"/>
        <w:keepLines w:val="0"/>
        <w:keepNext/>
        <w:pageBreakBefore w:val="0"/>
        <w:spacing w:line="560" w:lineRule="exact"/>
        <w:widowControl/>
        <w:rPr>
          <w:rFonts w:hint="eastAsia" w:ascii="宋体" w:hAnsi="宋体" w:eastAsia="宋体" w:cs="宋体"/>
          <w:b/>
          <w:color w:val="auto"/>
          <w:spacing w:val="8"/>
          <w:sz w:val="24"/>
          <w:szCs w:val="24"/>
          <w:highlight w:val="none"/>
          <w:lang w:val="en-US" w:eastAsia="zh-CN"/>
        </w:rPr>
        <w:outlineLvl w:val="9"/>
      </w:pPr>
      <w:r>
        <w:rPr>
          <w:rFonts w:hint="eastAsia" w:ascii="宋体" w:hAnsi="宋体" w:eastAsia="宋体" w:cs="宋体"/>
          <w:b/>
          <w:bCs/>
          <w:i w:val="0"/>
          <w:iCs w:val="0"/>
          <w:color w:val="auto"/>
          <w:sz w:val="24"/>
          <w:szCs w:val="24"/>
          <w:highlight w:val="none"/>
        </w:rPr>
        <w:t xml:space="preserve">本项目的特定资格要求</w:t>
      </w:r>
      <w:r>
        <w:rPr>
          <w:rFonts w:hint="eastAsia" w:ascii="宋体" w:hAnsi="宋体" w:eastAsia="宋体" w:cs="宋体"/>
          <w:i w:val="0"/>
          <w:iCs w:val="0"/>
          <w:color w:val="auto"/>
          <w:sz w:val="24"/>
          <w:szCs w:val="24"/>
          <w:highlight w:val="none"/>
        </w:rPr>
        <w:t xml:space="preserve">：</w:t>
      </w:r>
      <w:r/>
    </w:p>
    <w:p>
      <w:pPr>
        <w:numPr>
          <w:ilvl w:val="0"/>
          <w:numId w:val="0"/>
        </w:numPr>
        <w:ind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p>
    <w:p>
      <w:pPr>
        <w:ind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备注：采购人或采购代理机构通过信用中国网站（www.creditchina.gov.cn）、中国政府采购网（www.ccgp.gov.cn），对</w:t>
      </w:r>
      <w:r>
        <w:rPr>
          <w:rFonts w:hint="eastAsia" w:ascii="宋体" w:hAnsi="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信用记录情况进行查询，查询结果页面打印留存。</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若</w:t>
      </w:r>
      <w:r>
        <w:rPr>
          <w:rFonts w:hint="eastAsia" w:ascii="宋体" w:hAnsi="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法定代表人参与投标，则仅需提供法定代表人身份证；若授权代理人参与投标，则需提供企业法人委托书、授权人身份证、被授权人身份证。</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后不允许转包或分包。</w:t>
      </w:r>
      <w:r/>
    </w:p>
    <w:p>
      <w:pPr>
        <w:ind w:left="0" w:right="0" w:firstLine="480"/>
        <w:jc w:val="left"/>
        <w:keepLines w:val="0"/>
        <w:keepNext/>
        <w:pageBreakBefore w:val="0"/>
        <w:spacing w:line="560" w:lineRule="exact"/>
        <w:widowControl/>
        <w:rPr>
          <w:rFonts w:hint="eastAsia" w:ascii="宋体" w:hAnsi="宋体" w:eastAsia="宋体" w:cs="宋体"/>
          <w:b w:val="0"/>
          <w:bCs w:val="0"/>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）供应商/投标主体及其法定代表人、项目负责人未被列入“连云港市赣榆区行贿人联合惩戒信息库。” 备注：响应文件不需提供证明材料，评标时采购人通过赣榆区行贿人联合惩戒信息库，对供应商/投标主体情况进行内部查询，查询结果页面打印留存。</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lang w:val="en-US" w:eastAsia="zh-CN"/>
        </w:rPr>
        <w:outlineLvl w:val="9"/>
      </w:pPr>
      <w:r>
        <w:rPr>
          <w:rFonts w:hint="eastAsia" w:ascii="宋体" w:hAnsi="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本项目</w:t>
      </w:r>
      <w:r>
        <w:rPr>
          <w:rFonts w:hint="eastAsia" w:ascii="宋体" w:hAnsi="宋体" w:eastAsia="宋体" w:cs="宋体"/>
          <w:i w:val="0"/>
          <w:iCs w:val="0"/>
          <w:color w:val="auto"/>
          <w:sz w:val="24"/>
          <w:szCs w:val="24"/>
          <w:highlight w:val="none"/>
          <w:u w:val="single"/>
          <w:lang w:val="en-US" w:eastAsia="zh-CN"/>
        </w:rPr>
        <w:t xml:space="preserve">不接受</w:t>
      </w:r>
      <w:r>
        <w:rPr>
          <w:rFonts w:hint="eastAsia" w:ascii="宋体" w:hAnsi="宋体" w:eastAsia="宋体" w:cs="宋体"/>
          <w:i w:val="0"/>
          <w:iCs w:val="0"/>
          <w:color w:val="auto"/>
          <w:sz w:val="24"/>
          <w:szCs w:val="24"/>
          <w:highlight w:val="none"/>
        </w:rPr>
        <w:t xml:space="preserve">联合体参与</w:t>
      </w:r>
      <w:r>
        <w:rPr>
          <w:rFonts w:hint="eastAsia" w:ascii="宋体" w:hAnsi="宋体" w:eastAsia="宋体" w:cs="宋体"/>
          <w:i w:val="0"/>
          <w:iCs w:val="0"/>
          <w:color w:val="auto"/>
          <w:sz w:val="24"/>
          <w:szCs w:val="24"/>
          <w:highlight w:val="none"/>
          <w:lang w:val="en-US" w:eastAsia="zh-CN"/>
        </w:rPr>
        <w:t xml:space="preserve">磋商。</w:t>
      </w:r>
      <w:r/>
    </w:p>
    <w:p>
      <w:pPr>
        <w:ind w:left="0" w:right="0" w:firstLine="480"/>
        <w:jc w:val="left"/>
        <w:keepLines w:val="0"/>
        <w:keepNext/>
        <w:pageBreakBefore w:val="0"/>
        <w:spacing w:line="560" w:lineRule="exact"/>
        <w:widowControl/>
        <w:rPr>
          <w:rFonts w:hint="eastAsia" w:ascii="宋体" w:hAnsi="宋体" w:eastAsia="宋体" w:cs="宋体"/>
          <w:i w:val="0"/>
          <w:iCs w:val="0"/>
          <w:color w:val="auto"/>
          <w:sz w:val="24"/>
          <w:szCs w:val="24"/>
          <w:highlight w:val="none"/>
        </w:rPr>
        <w:outlineLvl w:val="9"/>
      </w:pP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法律、法规规定的其他条件。</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19"/>
      <w:r/>
      <w:bookmarkEnd w:id="20"/>
      <w:r/>
      <w:bookmarkEnd w:id="21"/>
      <w:r/>
      <w:bookmarkEnd w:id="22"/>
      <w:r/>
      <w:r/>
    </w:p>
    <w:p>
      <w:pPr>
        <w:ind w:firstLine="480"/>
        <w:keepLines w:val="0"/>
        <w:keepNext w:val="0"/>
        <w:pageBreakBefore w:val="0"/>
        <w:spacing w:line="540" w:lineRule="exact"/>
        <w:rPr>
          <w:rFonts w:hint="eastAsia" w:ascii="宋体" w:hAnsi="宋体" w:eastAsia="宋体" w:cs="宋体"/>
          <w:b/>
          <w:color w:val="auto"/>
          <w:sz w:val="24"/>
          <w:highlight w:val="none"/>
        </w:rPr>
      </w:pPr>
      <w:r/>
      <w:bookmarkStart w:id="23" w:name="_Toc28359015"/>
      <w:r/>
      <w:bookmarkStart w:id="24" w:name="_Toc35393632"/>
      <w:r/>
      <w:bookmarkStart w:id="25" w:name="_Toc35393801"/>
      <w:r/>
      <w:bookmarkStart w:id="26" w:name="_Toc28359092"/>
      <w:r>
        <w:rPr>
          <w:rFonts w:hint="eastAsia" w:ascii="宋体" w:hAnsi="宋体" w:eastAsia="宋体" w:cs="宋体"/>
          <w:color w:val="auto"/>
          <w:sz w:val="24"/>
          <w:szCs w:val="24"/>
          <w:highlight w:val="none"/>
        </w:rPr>
        <w:t xml:space="preserve">1、时间：</w:t>
      </w:r>
      <w:r>
        <w:rPr>
          <w:rFonts w:hint="eastAsia" w:ascii="宋体" w:hAnsi="宋体" w:eastAsia="宋体" w:cs="宋体"/>
          <w:b/>
          <w:color w:val="auto"/>
          <w:sz w:val="24"/>
          <w:highlight w:val="none"/>
        </w:rPr>
        <w:t xml:space="preserve">自磋商文件公告发布之日起5个工作日</w:t>
      </w:r>
      <w:r/>
    </w:p>
    <w:p>
      <w:pPr>
        <w:ind w:firstLine="480"/>
        <w:keepLines w:val="0"/>
        <w:keepNext w:val="0"/>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方式：在“江苏政府采购网”自行免费下载磋商文件</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、售价：人民币</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54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rPr>
        <w:t xml:space="preserve">四、</w:t>
      </w:r>
      <w:bookmarkEnd w:id="23"/>
      <w:r/>
      <w:bookmarkEnd w:id="24"/>
      <w:r/>
      <w:bookmarkEnd w:id="25"/>
      <w:r/>
      <w:bookmarkEnd w:id="26"/>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bookmarkStart w:id="27" w:name="_Toc35393634"/>
      <w:r/>
      <w:bookmarkStart w:id="28" w:name="_Toc35393803"/>
      <w:r/>
      <w:bookmarkStart w:id="29" w:name="_Toc28359094"/>
      <w:r/>
      <w:bookmarkStart w:id="30" w:name="_Toc28359017"/>
      <w:r/>
      <w:r/>
    </w:p>
    <w:p>
      <w:p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1、电子响应文件递交截止时间：</w:t>
      </w:r>
      <w:r/>
    </w:p>
    <w:p>
      <w:p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r/>
    </w:p>
    <w:p>
      <w:pPr>
        <w:numPr>
          <w:ilvl w:val="0"/>
          <w:numId w:val="6"/>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0分（北京时间）</w:t>
      </w:r>
      <w:bookmarkEnd w:id="27"/>
      <w:bookmarkEnd w:id="28"/>
      <w:bookmarkEnd w:id="29"/>
      <w:bookmarkEnd w:id="30"/>
      <w:r/>
    </w:p>
    <w:p>
      <w:pPr>
        <w:numPr>
          <w:ilvl w:val="0"/>
          <w:numId w:val="7"/>
        </w:numPr>
        <w:ind w:firstLine="482"/>
        <w:keepLines w:val="0"/>
        <w:keepNext w:val="0"/>
        <w:pageBreakBefore w:val="0"/>
        <w:spacing w:line="5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公告期限</w:t>
      </w:r>
      <w:r>
        <w:rPr>
          <w:rFonts w:hint="eastAsia" w:ascii="宋体" w:hAnsi="宋体" w:eastAsia="宋体" w:cs="宋体"/>
          <w:b/>
          <w:color w:val="auto"/>
          <w:sz w:val="24"/>
          <w:szCs w:val="24"/>
          <w:highlight w:val="none"/>
          <w:lang w:val="en-US" w:eastAsia="zh-CN"/>
        </w:rPr>
        <w:t xml:space="preserve">及媒介</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公告期限：</w:t>
      </w:r>
      <w:r>
        <w:rPr>
          <w:rFonts w:hint="eastAsia" w:ascii="宋体" w:hAnsi="宋体" w:eastAsia="宋体" w:cs="宋体"/>
          <w:color w:val="auto"/>
          <w:sz w:val="24"/>
          <w:szCs w:val="24"/>
          <w:highlight w:val="none"/>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bookmarkStart w:id="31" w:name="_Toc35393635"/>
      <w:r/>
      <w:bookmarkStart w:id="32" w:name="_Toc35393804"/>
      <w:r/>
      <w:r/>
    </w:p>
    <w:p>
      <w:pPr>
        <w:numPr>
          <w:ilvl w:val="0"/>
          <w:numId w:val="7"/>
        </w:numPr>
        <w:ind w:left="0" w:firstLine="482"/>
        <w:keepLines w:val="0"/>
        <w:keepNext w:val="0"/>
        <w:pageBreakBefore w:val="0"/>
        <w:spacing w:line="54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其他补充事宜</w:t>
      </w:r>
      <w:bookmarkEnd w:id="31"/>
      <w:r/>
      <w:bookmarkEnd w:id="32"/>
      <w:r/>
      <w:bookmarkStart w:id="33" w:name="_Toc35393636"/>
      <w:r/>
      <w:bookmarkStart w:id="34" w:name="_Toc35393805"/>
      <w:r/>
      <w:bookmarkStart w:id="35" w:name="_Toc28359095"/>
      <w:r/>
      <w:bookmarkStart w:id="36" w:name="_Toc28359018"/>
      <w:r/>
      <w:r/>
    </w:p>
    <w:p>
      <w:pPr>
        <w:numPr>
          <w:ilvl w:val="0"/>
          <w:numId w:val="8"/>
        </w:numPr>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根据苏财购［2020］52号文规定，本次磋商不收取磋商保证金。</w:t>
      </w:r>
      <w:r/>
    </w:p>
    <w:p>
      <w:pPr>
        <w:numPr>
          <w:ilvl w:val="0"/>
          <w:numId w:val="0"/>
        </w:numPr>
        <w:ind w:firstLine="480"/>
        <w:keepLines w:val="0"/>
        <w:keepNext w:val="0"/>
        <w:pageBreakBefore w:val="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2、无论出于何种原因，采购人在采购活动开始前可对竞</w:t>
      </w:r>
      <w:r>
        <w:rPr>
          <w:rFonts w:hint="eastAsia" w:ascii="宋体" w:hAnsi="宋体" w:eastAsia="宋体" w:cs="宋体"/>
          <w:color w:val="auto"/>
          <w:sz w:val="24"/>
          <w:szCs w:val="24"/>
          <w:highlight w:val="none"/>
          <w:lang w:eastAsia="zh-CN"/>
        </w:rPr>
        <w:t xml:space="preserve">争性</w:t>
      </w:r>
      <w:r>
        <w:rPr>
          <w:rFonts w:hint="eastAsia" w:ascii="宋体" w:hAnsi="宋体" w:eastAsia="宋体" w:cs="宋体"/>
          <w:color w:val="auto"/>
          <w:sz w:val="24"/>
          <w:szCs w:val="24"/>
          <w:highlight w:val="none"/>
        </w:rPr>
        <w:t xml:space="preserve">磋商文件进行修改、补充或变更，其内容作为竞争性磋商文件的重要组成部分，请各供应商关注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ind w:right="0" w:firstLine="482"/>
        <w:jc w:val="left"/>
        <w:keepLines w:val="0"/>
        <w:keepNext/>
        <w:pageBreakBefore w:val="0"/>
        <w:spacing w:line="560" w:lineRule="exact"/>
        <w:widowControl/>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、凡对本次采购提出询问，请按以下方式联系</w:t>
      </w:r>
      <w:bookmarkEnd w:id="33"/>
      <w:r/>
      <w:bookmarkEnd w:id="34"/>
      <w:r/>
      <w:bookmarkEnd w:id="35"/>
      <w:r/>
      <w:bookmarkEnd w:id="36"/>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bookmarkStart w:id="37" w:name="_Toc35393637"/>
      <w:r/>
      <w:bookmarkStart w:id="38" w:name="_Toc28359019"/>
      <w:r/>
      <w:bookmarkStart w:id="39" w:name="_Toc28359096"/>
      <w:r/>
      <w:bookmarkStart w:id="40" w:name="_Toc3539380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bookmarkEnd w:id="37"/>
      <w:r/>
      <w:bookmarkEnd w:id="38"/>
      <w:r/>
      <w:bookmarkEnd w:id="39"/>
      <w:r/>
      <w:bookmarkEnd w:id="40"/>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连云港市赣榆区自然资源和规划局</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连云港市赣榆区黄海东路</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号</w:t>
      </w:r>
      <w:r/>
    </w:p>
    <w:p>
      <w:pPr>
        <w:ind w:firstLine="480"/>
        <w:jc w:val="left"/>
        <w:keepLines w:val="0"/>
        <w:keepNext/>
        <w:pageBreakBefore w:val="0"/>
        <w:spacing w:line="560" w:lineRule="exact"/>
        <w:widowControl/>
        <w:rPr>
          <w:rFonts w:hint="default" w:ascii="宋体" w:hAnsi="宋体" w:eastAsia="宋体" w:cs="宋体"/>
          <w:color w:val="auto"/>
          <w:sz w:val="24"/>
          <w:szCs w:val="24"/>
          <w:highlight w:val="none"/>
          <w:lang w:val="en-US" w:eastAsia="zh-CN"/>
        </w:rPr>
      </w:pPr>
      <w:r/>
      <w:bookmarkStart w:id="41" w:name="_Toc35393638"/>
      <w:r/>
      <w:bookmarkStart w:id="42" w:name="_Toc28359020"/>
      <w:r/>
      <w:bookmarkStart w:id="43" w:name="_Toc28359097"/>
      <w:r/>
      <w:bookmarkStart w:id="44" w:name="_Toc35393807"/>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lang w:val="en-US" w:eastAsia="zh-CN" w:bidi="ar"/>
        </w:rPr>
        <w:t xml:space="preserve">张</w:t>
      </w:r>
      <w:r>
        <w:rPr>
          <w:rFonts w:hint="eastAsia" w:ascii="宋体" w:hAnsi="宋体" w:cs="宋体"/>
          <w:color w:val="auto"/>
          <w:sz w:val="24"/>
          <w:highlight w:val="none"/>
          <w:lang w:val="en-US" w:eastAsia="zh-CN" w:bidi="ar"/>
        </w:rPr>
        <w:t xml:space="preserve">主任</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highlight w:val="none"/>
          <w:lang w:eastAsia="zh-CN" w:bidi="ar"/>
        </w:rPr>
        <w:t xml:space="preserve">15251281163</w:t>
      </w:r>
      <w:r>
        <w:rPr>
          <w:rFonts w:hint="eastAsia" w:ascii="宋体" w:hAnsi="宋体" w:eastAsia="宋体" w:cs="宋体"/>
          <w:color w:val="auto"/>
          <w:sz w:val="24"/>
          <w:highlight w:val="none"/>
          <w:lang w:val="en-US" w:eastAsia="zh-CN" w:bidi="ar"/>
        </w:rPr>
        <w:t xml:space="preserve"> </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1"/>
      <w:r/>
      <w:bookmarkEnd w:id="42"/>
      <w:r/>
      <w:bookmarkEnd w:id="43"/>
      <w:r/>
      <w:bookmarkEnd w:id="44"/>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江苏宝宏项目管理咨询有限公司</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eastAsia="zh-CN"/>
        </w:rPr>
        <w:t xml:space="preserve">连云港市海州经济技术开发区朐凤路116号</w:t>
      </w:r>
      <w:r>
        <w:rPr>
          <w:rFonts w:hint="eastAsia" w:ascii="宋体" w:hAnsi="宋体" w:eastAsia="宋体" w:cs="宋体"/>
          <w:color w:val="auto"/>
          <w:sz w:val="24"/>
          <w:szCs w:val="24"/>
          <w:highlight w:val="none"/>
        </w:rPr>
        <w:t xml:space="preserve"> </w:t>
      </w:r>
      <w:r/>
    </w:p>
    <w:p>
      <w:pPr>
        <w:ind w:right="0" w:firstLine="480"/>
        <w:jc w:val="left"/>
        <w:keepLines w:val="0"/>
        <w:keepNext/>
        <w:pageBreakBefore w:val="0"/>
        <w:spacing w:line="56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bookmarkStart w:id="45" w:name="_Toc28359021"/>
      <w:r/>
      <w:bookmarkStart w:id="46" w:name="_Toc35393808"/>
      <w:r/>
      <w:bookmarkStart w:id="47" w:name="_Toc35393639"/>
      <w:r/>
      <w:bookmarkStart w:id="48" w:name="_Toc28359098"/>
      <w:r>
        <w:rPr>
          <w:rFonts w:hint="eastAsia" w:ascii="宋体" w:hAnsi="宋体" w:cs="宋体"/>
          <w:color w:val="auto"/>
          <w:sz w:val="24"/>
          <w:szCs w:val="24"/>
          <w:highlight w:val="none"/>
          <w:lang w:val="en-US" w:eastAsia="zh-CN"/>
        </w:rPr>
        <w:t xml:space="preserve">王</w:t>
      </w:r>
      <w:r>
        <w:rPr>
          <w:rFonts w:hint="eastAsia" w:ascii="宋体" w:hAnsi="宋体" w:eastAsia="宋体" w:cs="宋体"/>
          <w:color w:val="auto"/>
          <w:sz w:val="24"/>
          <w:szCs w:val="24"/>
          <w:highlight w:val="none"/>
          <w:lang w:val="en-US" w:eastAsia="zh-CN"/>
        </w:rPr>
        <w:t xml:space="preserve">工  电话</w:t>
      </w:r>
      <w:r>
        <w:rPr>
          <w:rFonts w:hint="eastAsia" w:ascii="宋体" w:hAnsi="宋体" w:cs="宋体"/>
          <w:color w:val="auto"/>
          <w:sz w:val="24"/>
          <w:szCs w:val="24"/>
          <w:highlight w:val="none"/>
          <w:lang w:val="en-US" w:eastAsia="zh-CN"/>
        </w:rPr>
        <w:t xml:space="preserve">：15161352881</w:t>
      </w:r>
      <w:r/>
    </w:p>
    <w:p>
      <w:pPr>
        <w:ind w:firstLine="482"/>
        <w:jc w:val="left"/>
        <w:keepLines w:val="0"/>
        <w:keepNext/>
        <w:pageBreakBefore w:val="0"/>
        <w:spacing w:line="56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、电子采购说明</w:t>
      </w:r>
      <w:bookmarkEnd w:id="45"/>
      <w:r/>
      <w:bookmarkEnd w:id="46"/>
      <w:r/>
      <w:bookmarkEnd w:id="47"/>
      <w:r/>
      <w:bookmarkEnd w:id="48"/>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2.本招标文件中斜体且有下划线部分为实质性要求和条件，由采购人根据实际情况设置，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须逐条明确作出满足实质性要求和条件的响应，否则将按无效响应处理。</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关注江苏政府采购网。若因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自身原因未及时关注本项目有关修改、补充或者变更信息，导致</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文件编制或者提交失误，由此造成的一切损失由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通过“苏采云”系统参与政府采购项目，需要办理（更换）CA数字证书和电子签章。具体办理指南和操作手册见链接：</w:t>
      </w:r>
      <w:r/>
    </w:p>
    <w:p>
      <w:pPr>
        <w:ind w:firstLine="482"/>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jc w:val="left"/>
        <w:keepLines w:val="0"/>
        <w:keepNext/>
        <w:pageBreakBefore w:val="0"/>
        <w:spacing w:line="56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按照《操作手册》要求获取招标文件，制作、递交（上传）电子</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文件，参加开标，澄清、说明或者补正。因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未按要求操作原因导致电子</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文件被拒绝、造成无效响应的，自行承担一切损失。</w:t>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pageBreakBefore w:val="0"/>
        <w:spacing w:line="50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7"/>
        <w:jc w:val="center"/>
        <w:keepLines w:val="0"/>
        <w:keepNext/>
        <w:pageBreakBefore w:val="0"/>
        <w:widowControl/>
        <w:rPr>
          <w:rFonts w:hint="eastAsia" w:ascii="宋体" w:hAnsi="宋体" w:eastAsia="宋体" w:cs="宋体"/>
          <w:color w:val="auto"/>
          <w:sz w:val="44"/>
          <w:szCs w:val="44"/>
          <w:highlight w:val="none"/>
        </w:rPr>
      </w:pPr>
      <w:r/>
      <w:bookmarkStart w:id="49" w:name="_Toc513029209"/>
      <w:r/>
      <w:bookmarkStart w:id="50" w:name="_Toc8218"/>
      <w:r/>
      <w:bookmarkStart w:id="51" w:name="_Toc465856612"/>
      <w:r/>
      <w:bookmarkStart w:id="52" w:name="_Toc14577347"/>
      <w:r/>
      <w:bookmarkStart w:id="53" w:name="_Toc61149549"/>
      <w:r/>
      <w:bookmarkStart w:id="54" w:name="_Toc7098"/>
      <w:r/>
      <w:bookmarkStart w:id="55" w:name="_Toc21453"/>
      <w:r>
        <w:rPr>
          <w:rFonts w:hint="eastAsia" w:ascii="宋体" w:hAnsi="宋体" w:eastAsia="宋体" w:cs="宋体"/>
          <w:b/>
          <w:bCs/>
          <w:color w:val="auto"/>
          <w:sz w:val="44"/>
          <w:szCs w:val="44"/>
          <w:highlight w:val="none"/>
        </w:rPr>
        <w:t xml:space="preserve">第二章 磋商须知</w:t>
      </w:r>
      <w:bookmarkEnd w:id="49"/>
      <w:r/>
      <w:bookmarkEnd w:id="50"/>
      <w:r/>
      <w:bookmarkEnd w:id="51"/>
      <w:r/>
      <w:bookmarkEnd w:id="52"/>
      <w:r/>
      <w:bookmarkEnd w:id="53"/>
      <w:r/>
      <w:bookmarkEnd w:id="54"/>
      <w:r/>
      <w:bookmarkEnd w:id="55"/>
      <w:r/>
      <w:r/>
    </w:p>
    <w:p>
      <w:pPr>
        <w:ind w:firstLine="2160"/>
        <w:keepLines w:val="0"/>
        <w:keepNext/>
        <w:pageBreakBefore w:val="0"/>
        <w:spacing w:after="143" w:line="560" w:lineRule="exact"/>
        <w:widowControl/>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56" w:name="_Toc16938519"/>
      <w:r/>
      <w:bookmarkStart w:id="57" w:name="_Toc513029203"/>
      <w:r/>
      <w:bookmarkStart w:id="58" w:name="_Toc20823275"/>
      <w:r/>
      <w:bookmarkStart w:id="59" w:name="_Toc120614214"/>
      <w:r>
        <w:rPr>
          <w:rFonts w:hint="eastAsia" w:ascii="宋体" w:hAnsi="宋体" w:eastAsia="宋体" w:cs="宋体"/>
          <w:b/>
          <w:bCs/>
          <w:color w:val="auto"/>
          <w:sz w:val="24"/>
          <w:szCs w:val="24"/>
          <w:highlight w:val="none"/>
        </w:rPr>
        <w:t xml:space="preserve">一、总则</w:t>
      </w:r>
      <w:bookmarkEnd w:id="56"/>
      <w:r/>
      <w:bookmarkEnd w:id="57"/>
      <w:r/>
      <w:bookmarkEnd w:id="58"/>
      <w:r/>
      <w:bookmarkEnd w:id="59"/>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0" w:name="_Hlt16619475"/>
      <w:r/>
      <w:bookmarkEnd w:id="60"/>
      <w:r/>
      <w:bookmarkStart w:id="61" w:name="_Toc458694821"/>
      <w:r/>
      <w:bookmarkStart w:id="62" w:name="_Toc20823276"/>
      <w:r/>
      <w:bookmarkStart w:id="63" w:name="_Toc16938520"/>
      <w:r/>
      <w:bookmarkStart w:id="64" w:name="_Toc513029204"/>
      <w:r>
        <w:rPr>
          <w:rFonts w:hint="eastAsia" w:ascii="宋体" w:hAnsi="宋体" w:eastAsia="宋体" w:cs="宋体"/>
          <w:b/>
          <w:bCs/>
          <w:color w:val="auto"/>
          <w:sz w:val="24"/>
          <w:szCs w:val="24"/>
          <w:highlight w:val="none"/>
        </w:rPr>
        <w:t xml:space="preserve">1</w:t>
      </w:r>
      <w:bookmarkEnd w:id="61"/>
      <w:r>
        <w:rPr>
          <w:rFonts w:hint="eastAsia" w:ascii="宋体" w:hAnsi="宋体" w:eastAsia="宋体" w:cs="宋体"/>
          <w:b/>
          <w:bCs/>
          <w:color w:val="auto"/>
          <w:sz w:val="24"/>
          <w:szCs w:val="24"/>
          <w:highlight w:val="none"/>
        </w:rPr>
        <w:t xml:space="preserve">、采购方式</w:t>
      </w:r>
      <w:bookmarkEnd w:id="62"/>
      <w:r/>
      <w:bookmarkEnd w:id="63"/>
      <w:r/>
      <w:bookmarkEnd w:id="6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5" w:name="_Toc16938521"/>
      <w:r/>
      <w:bookmarkStart w:id="66" w:name="_Toc513029205"/>
      <w:r/>
      <w:bookmarkStart w:id="67" w:name="_Toc20823277"/>
      <w:r>
        <w:rPr>
          <w:rFonts w:hint="eastAsia" w:ascii="宋体" w:hAnsi="宋体" w:eastAsia="宋体" w:cs="宋体"/>
          <w:b/>
          <w:bCs/>
          <w:color w:val="auto"/>
          <w:sz w:val="24"/>
          <w:szCs w:val="24"/>
          <w:highlight w:val="none"/>
        </w:rPr>
        <w:t xml:space="preserve">2、合格的</w:t>
      </w:r>
      <w:bookmarkEnd w:id="65"/>
      <w:r/>
      <w:bookmarkEnd w:id="66"/>
      <w:r/>
      <w:bookmarkEnd w:id="67"/>
      <w:r>
        <w:rPr>
          <w:rFonts w:hint="eastAsia" w:ascii="宋体" w:hAnsi="宋体" w:eastAsia="宋体" w:cs="宋体"/>
          <w:b/>
          <w:bCs/>
          <w:color w:val="auto"/>
          <w:sz w:val="24"/>
          <w:szCs w:val="24"/>
          <w:highlight w:val="none"/>
        </w:rPr>
        <w:t xml:space="preserve">供应商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2.1满足磋商公告中供应商资格要求的规定。</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满足本磋商文件实质性要求和条件的规定。</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68" w:name="_Toc513029206"/>
      <w:r/>
      <w:bookmarkStart w:id="69" w:name="_Toc20823278"/>
      <w:r/>
      <w:bookmarkStart w:id="70" w:name="_Toc16938522"/>
      <w:r>
        <w:rPr>
          <w:rFonts w:hint="eastAsia" w:ascii="宋体" w:hAnsi="宋体" w:eastAsia="宋体" w:cs="宋体"/>
          <w:b/>
          <w:bCs/>
          <w:color w:val="auto"/>
          <w:sz w:val="24"/>
          <w:szCs w:val="24"/>
          <w:highlight w:val="none"/>
        </w:rPr>
        <w:t xml:space="preserve">3、适用法律</w:t>
      </w:r>
      <w:bookmarkEnd w:id="68"/>
      <w:r/>
      <w:bookmarkEnd w:id="69"/>
      <w:r/>
      <w:bookmarkEnd w:id="7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1" w:name="_Toc513029207"/>
      <w:r/>
      <w:bookmarkStart w:id="72" w:name="_Toc20823279"/>
      <w:r/>
      <w:bookmarkStart w:id="73" w:name="_Toc462564067"/>
      <w:r/>
      <w:bookmarkStart w:id="74" w:name="_Toc16938523"/>
      <w:r>
        <w:rPr>
          <w:rFonts w:hint="eastAsia" w:ascii="宋体" w:hAnsi="宋体" w:eastAsia="宋体" w:cs="宋体"/>
          <w:b/>
          <w:bCs/>
          <w:color w:val="auto"/>
          <w:sz w:val="24"/>
          <w:szCs w:val="24"/>
          <w:highlight w:val="none"/>
        </w:rPr>
        <w:t xml:space="preserve">4、磋商费用</w:t>
      </w:r>
      <w:bookmarkEnd w:id="71"/>
      <w:r/>
      <w:bookmarkEnd w:id="72"/>
      <w:r/>
      <w:bookmarkEnd w:id="73"/>
      <w:r/>
      <w:bookmarkEnd w:id="7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供应商应自行承担所有与参加本次磋商有关的费用，无论磋商过程中的做法和结果如何，</w:t>
      </w:r>
      <w:r>
        <w:rPr>
          <w:rFonts w:hint="eastAsia" w:ascii="宋体" w:hAnsi="宋体" w:cs="宋体"/>
          <w:color w:val="auto"/>
          <w:sz w:val="24"/>
          <w:szCs w:val="24"/>
          <w:highlight w:val="none"/>
          <w:lang w:eastAsia="zh-CN"/>
        </w:rPr>
        <w:t xml:space="preserve">江苏宝宏项目管理咨询有限公司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）在任何情况下均无义务和责任承担</w:t>
      </w:r>
      <w:r>
        <w:rPr>
          <w:rFonts w:hint="eastAsia" w:ascii="宋体" w:hAnsi="宋体" w:eastAsia="宋体" w:cs="宋体"/>
          <w:color w:val="auto"/>
          <w:sz w:val="24"/>
          <w:szCs w:val="24"/>
          <w:highlight w:val="none"/>
          <w:lang w:eastAsia="zh-CN"/>
        </w:rPr>
        <w:t xml:space="preserve">此</w:t>
      </w:r>
      <w:r>
        <w:rPr>
          <w:rFonts w:hint="eastAsia" w:ascii="宋体" w:hAnsi="宋体" w:eastAsia="宋体" w:cs="宋体"/>
          <w:color w:val="auto"/>
          <w:sz w:val="24"/>
          <w:szCs w:val="24"/>
          <w:highlight w:val="none"/>
        </w:rPr>
        <w:t xml:space="preserve">费用。</w:t>
      </w:r>
      <w:r/>
    </w:p>
    <w:p>
      <w:pPr>
        <w:ind w:left="0" w:firstLine="482"/>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5、磋商文件的约束力</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5" w:name="_Toc16938525"/>
      <w:r/>
      <w:bookmarkStart w:id="76" w:name="_Toc20823281"/>
      <w:r/>
      <w:bookmarkStart w:id="77" w:name="_Toc120614215"/>
      <w:r>
        <w:rPr>
          <w:rFonts w:hint="eastAsia" w:ascii="宋体" w:hAnsi="宋体" w:eastAsia="宋体" w:cs="宋体"/>
          <w:b/>
          <w:bCs/>
          <w:color w:val="auto"/>
          <w:sz w:val="24"/>
          <w:szCs w:val="24"/>
          <w:highlight w:val="none"/>
        </w:rPr>
        <w:t xml:space="preserve">二、</w:t>
      </w:r>
      <w:bookmarkEnd w:id="75"/>
      <w:r/>
      <w:bookmarkEnd w:id="76"/>
      <w:r/>
      <w:bookmarkEnd w:id="77"/>
      <w:r>
        <w:rPr>
          <w:rFonts w:hint="eastAsia" w:ascii="宋体" w:hAnsi="宋体" w:eastAsia="宋体" w:cs="宋体"/>
          <w:b/>
          <w:bCs/>
          <w:color w:val="auto"/>
          <w:sz w:val="24"/>
          <w:szCs w:val="24"/>
          <w:highlight w:val="none"/>
        </w:rPr>
        <w:t xml:space="preserve">磋商文件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78" w:name="_Toc20823282"/>
      <w:r/>
      <w:bookmarkStart w:id="79" w:name="_Toc513029210"/>
      <w:r/>
      <w:bookmarkStart w:id="80" w:name="_Toc16938526"/>
      <w:r>
        <w:rPr>
          <w:rFonts w:hint="eastAsia" w:ascii="宋体" w:hAnsi="宋体" w:eastAsia="宋体" w:cs="宋体"/>
          <w:b/>
          <w:bCs/>
          <w:color w:val="auto"/>
          <w:sz w:val="24"/>
          <w:szCs w:val="24"/>
          <w:highlight w:val="none"/>
        </w:rPr>
        <w:t xml:space="preserve">6、磋商文件构成</w:t>
      </w:r>
      <w:bookmarkEnd w:id="78"/>
      <w:r/>
      <w:bookmarkEnd w:id="79"/>
      <w:r/>
      <w:bookmarkEnd w:id="8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磋商文件由以下部分组成：</w:t>
      </w:r>
      <w:r/>
    </w:p>
    <w:p>
      <w:pPr>
        <w:numPr>
          <w:ilvl w:val="0"/>
          <w:numId w:val="9"/>
        </w:num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val="en-US" w:eastAsia="zh-CN"/>
        </w:rPr>
        <w:t xml:space="preserve">采购公告</w:t>
      </w:r>
      <w:r/>
    </w:p>
    <w:p>
      <w:pPr>
        <w:numPr>
          <w:ilvl w:val="0"/>
          <w:numId w:val="0"/>
        </w:numPr>
        <w:ind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须知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（5）评审方法与评审标准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（6）响应文件格式</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1" w:name="_Toc20823283"/>
      <w:r/>
      <w:bookmarkStart w:id="82" w:name="_Toc462564070"/>
      <w:r/>
      <w:bookmarkStart w:id="83" w:name="_Toc16938527"/>
      <w:r/>
      <w:bookmarkStart w:id="84" w:name="_Toc513029211"/>
      <w:r>
        <w:rPr>
          <w:rFonts w:hint="eastAsia" w:ascii="宋体" w:hAnsi="宋体" w:eastAsia="宋体" w:cs="宋体"/>
          <w:b/>
          <w:bCs/>
          <w:color w:val="auto"/>
          <w:sz w:val="24"/>
          <w:szCs w:val="24"/>
          <w:highlight w:val="none"/>
        </w:rPr>
        <w:t xml:space="preserve">7、磋商文件的澄清</w:t>
      </w:r>
      <w:bookmarkEnd w:id="81"/>
      <w:r/>
      <w:bookmarkEnd w:id="82"/>
      <w:r/>
      <w:bookmarkEnd w:id="83"/>
      <w:r/>
      <w:bookmarkEnd w:id="84"/>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5" w:name="_Toc513029212"/>
      <w:r/>
      <w:bookmarkStart w:id="86" w:name="_Toc16938528"/>
      <w:r/>
      <w:bookmarkStart w:id="87" w:name="_Toc20823284"/>
      <w:r/>
      <w:bookmarkStart w:id="88" w:name="_Toc462564071"/>
      <w:r>
        <w:rPr>
          <w:rFonts w:hint="eastAsia" w:ascii="宋体" w:hAnsi="宋体" w:eastAsia="宋体" w:cs="宋体"/>
          <w:b/>
          <w:bCs/>
          <w:color w:val="auto"/>
          <w:sz w:val="24"/>
          <w:szCs w:val="24"/>
          <w:highlight w:val="none"/>
        </w:rPr>
        <w:t xml:space="preserve">8、磋商文件的澄清和修改</w:t>
      </w:r>
      <w:bookmarkEnd w:id="85"/>
      <w:r/>
      <w:bookmarkEnd w:id="86"/>
      <w:r/>
      <w:bookmarkEnd w:id="87"/>
      <w:r/>
      <w:bookmarkEnd w:id="88"/>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89" w:name="_Toc20823285"/>
      <w:r/>
      <w:bookmarkStart w:id="90" w:name="_Toc16938529"/>
      <w:r/>
      <w:bookmarkStart w:id="91" w:name="_Toc513029213"/>
      <w:r/>
      <w:bookmarkStart w:id="92" w:name="_Toc462564072"/>
      <w:r/>
      <w:bookmarkStart w:id="93" w:name="_Toc120614216"/>
      <w:r>
        <w:rPr>
          <w:rFonts w:hint="eastAsia" w:ascii="宋体" w:hAnsi="宋体" w:eastAsia="宋体" w:cs="宋体"/>
          <w:b/>
          <w:bCs/>
          <w:color w:val="auto"/>
          <w:sz w:val="24"/>
          <w:szCs w:val="24"/>
          <w:highlight w:val="none"/>
        </w:rPr>
        <w:t xml:space="preserve">三、响应文件的编制</w:t>
      </w:r>
      <w:bookmarkEnd w:id="89"/>
      <w:r/>
      <w:bookmarkEnd w:id="90"/>
      <w:r/>
      <w:bookmarkEnd w:id="91"/>
      <w:r/>
      <w:bookmarkEnd w:id="92"/>
      <w:r/>
      <w:bookmarkEnd w:id="93"/>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94" w:name="_Toc16938530"/>
      <w:r/>
      <w:bookmarkStart w:id="95" w:name="_Toc513029214"/>
      <w:r/>
      <w:bookmarkStart w:id="96" w:name="_Toc20823286"/>
      <w:r/>
      <w:bookmarkStart w:id="97" w:name="_Toc462564073"/>
      <w:r>
        <w:rPr>
          <w:rFonts w:hint="eastAsia" w:ascii="宋体" w:hAnsi="宋体" w:eastAsia="宋体" w:cs="宋体"/>
          <w:b/>
          <w:bCs/>
          <w:color w:val="auto"/>
          <w:sz w:val="24"/>
          <w:szCs w:val="24"/>
          <w:highlight w:val="none"/>
        </w:rPr>
        <w:t xml:space="preserve">9、响应文件的语言及度量衡单位</w:t>
      </w:r>
      <w:bookmarkEnd w:id="94"/>
      <w:r/>
      <w:bookmarkEnd w:id="95"/>
      <w:r/>
      <w:bookmarkEnd w:id="96"/>
      <w:r/>
      <w:bookmarkEnd w:id="97"/>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98" w:name="_Toc462564074"/>
      <w:r/>
      <w:bookmarkStart w:id="99" w:name="_Toc513029215"/>
      <w:r/>
      <w:bookmarkStart w:id="100" w:name="_Toc20823287"/>
      <w:r/>
      <w:bookmarkStart w:id="101" w:name="_Toc16938531"/>
      <w:r>
        <w:rPr>
          <w:rFonts w:hint="eastAsia" w:ascii="宋体" w:hAnsi="宋体" w:eastAsia="宋体" w:cs="宋体"/>
          <w:b/>
          <w:bCs/>
          <w:color w:val="auto"/>
          <w:sz w:val="24"/>
          <w:szCs w:val="24"/>
          <w:highlight w:val="none"/>
        </w:rPr>
        <w:t xml:space="preserve">10、响应文件构成</w:t>
      </w:r>
      <w:bookmarkEnd w:id="98"/>
      <w:r/>
      <w:bookmarkEnd w:id="99"/>
      <w:r/>
      <w:bookmarkEnd w:id="100"/>
      <w:r/>
      <w:bookmarkEnd w:id="101"/>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供应商编写的响应文件应包括资格证明文件、符合性证明文件、分项报价表、技术要求响应及偏离表、商务要求响应及偏离表、其他证明文件、磋商响应函等部分。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02" w:name="_Hlt26670360"/>
      <w:r/>
      <w:bookmarkEnd w:id="102"/>
      <w:r/>
      <w:bookmarkStart w:id="103" w:name="_Hlt26668975"/>
      <w:r/>
      <w:bookmarkEnd w:id="103"/>
      <w:r/>
      <w:bookmarkStart w:id="104" w:name="_Hlt26954838"/>
      <w:r/>
      <w:bookmarkEnd w:id="104"/>
      <w:r/>
      <w:bookmarkStart w:id="105" w:name="_Toc49090509"/>
      <w:r/>
      <w:bookmarkStart w:id="106" w:name="_Toc14577354"/>
      <w:r/>
      <w:bookmarkStart w:id="107" w:name="_Toc513029219"/>
      <w:r/>
      <w:bookmarkStart w:id="108" w:name="_Toc14577357"/>
      <w:r/>
      <w:bookmarkStart w:id="109" w:name="_Toc513029216"/>
      <w:r/>
      <w:bookmarkStart w:id="110" w:name="_Toc49090507"/>
      <w:r/>
      <w:bookmarkStart w:id="111" w:name="_Toc14577355"/>
      <w:r/>
      <w:bookmarkStart w:id="112" w:name="_Toc49090508"/>
      <w:r>
        <w:rPr>
          <w:rFonts w:hint="eastAsia" w:ascii="宋体" w:hAnsi="宋体" w:eastAsia="宋体" w:cs="宋体"/>
          <w:b/>
          <w:bCs/>
          <w:color w:val="auto"/>
          <w:sz w:val="24"/>
          <w:szCs w:val="24"/>
          <w:highlight w:val="none"/>
        </w:rPr>
        <w:t xml:space="preserve">11、证明磋商响应标的符合磋商文件规定的文件</w:t>
      </w:r>
      <w:bookmarkEnd w:id="105"/>
      <w:r/>
      <w:bookmarkEnd w:id="106"/>
      <w:r/>
      <w:bookmarkEnd w:id="107"/>
      <w:r/>
      <w:bookmarkEnd w:id="108"/>
      <w:r/>
      <w:bookmarkEnd w:id="109"/>
      <w:r/>
      <w:bookmarkEnd w:id="11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11"/>
      <w:r/>
      <w:bookmarkEnd w:id="112"/>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12、分项报价表</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13" w:name="_Hlt26954846"/>
      <w:r/>
      <w:bookmarkEnd w:id="113"/>
      <w:r/>
      <w:bookmarkStart w:id="114" w:name="_Hlt26670486"/>
      <w:r/>
      <w:bookmarkEnd w:id="114"/>
      <w:r/>
      <w:bookmarkStart w:id="115" w:name="_Hlt26670482"/>
      <w:r/>
      <w:bookmarkEnd w:id="115"/>
      <w:r/>
      <w:bookmarkStart w:id="116" w:name="_Hlt26954848"/>
      <w:r/>
      <w:bookmarkEnd w:id="116"/>
      <w:r/>
      <w:bookmarkStart w:id="117" w:name="_Hlt26954731"/>
      <w:r/>
      <w:bookmarkEnd w:id="117"/>
      <w:r>
        <w:rPr>
          <w:rFonts w:hint="eastAsia" w:ascii="宋体" w:hAnsi="宋体" w:eastAsia="宋体" w:cs="宋体"/>
          <w:b/>
          <w:bCs/>
          <w:color w:val="auto"/>
          <w:sz w:val="24"/>
          <w:szCs w:val="24"/>
          <w:highlight w:val="none"/>
        </w:rPr>
        <w:t xml:space="preserve">13、技术要求响应及偏离表、商务要求响应及偏离表</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供应商需对磋商文件中的技术要求与商务要求逐项作出响应或偏离，并说明原因。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14、服务承诺、培训计划、人员安排及其他</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14.2供应商需根据磋商文件要求提供培训计划。</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14.3供应商需根据磋商文件要求提供</w:t>
      </w:r>
      <w:r>
        <w:rPr>
          <w:rFonts w:hint="eastAsia" w:ascii="宋体" w:hAnsi="宋体" w:eastAsia="宋体" w:cs="宋体"/>
          <w:color w:val="auto"/>
          <w:sz w:val="24"/>
          <w:szCs w:val="24"/>
          <w:highlight w:val="none"/>
          <w:lang w:val="zh-CN"/>
        </w:rPr>
        <w:t xml:space="preserve">磋商响应标的的主要组成部分、功能设计、实现思路及关键技术等。</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18" w:name="_Toc14577359"/>
      <w:r/>
      <w:bookmarkStart w:id="119" w:name="_Toc49090510"/>
      <w:r>
        <w:rPr>
          <w:rFonts w:hint="eastAsia" w:ascii="宋体" w:hAnsi="宋体" w:eastAsia="宋体" w:cs="宋体"/>
          <w:b/>
          <w:bCs/>
          <w:color w:val="auto"/>
          <w:sz w:val="24"/>
          <w:szCs w:val="24"/>
          <w:highlight w:val="none"/>
        </w:rPr>
        <w:t xml:space="preserve">15、磋商响应函</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18"/>
      <w:r/>
      <w:bookmarkEnd w:id="119"/>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0" w:name="_Toc14577360"/>
      <w:r/>
      <w:bookmarkStart w:id="121" w:name="_Toc49090511"/>
      <w:r>
        <w:rPr>
          <w:rFonts w:hint="eastAsia" w:ascii="宋体" w:hAnsi="宋体" w:eastAsia="宋体" w:cs="宋体"/>
          <w:b/>
          <w:bCs/>
          <w:color w:val="auto"/>
          <w:sz w:val="24"/>
          <w:szCs w:val="24"/>
          <w:highlight w:val="none"/>
        </w:rPr>
        <w:t xml:space="preserve">16、磋商有效期</w:t>
      </w:r>
      <w:bookmarkEnd w:id="120"/>
      <w:r/>
      <w:bookmarkEnd w:id="121"/>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16.1磋商有效期为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i/>
          <w:i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17、磋商有效期的延长</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2" w:name="_Hlt26954739"/>
      <w:r/>
      <w:bookmarkEnd w:id="122"/>
      <w:r/>
      <w:bookmarkStart w:id="123" w:name="_Hlt26954852"/>
      <w:r/>
      <w:bookmarkEnd w:id="123"/>
      <w:r/>
      <w:bookmarkStart w:id="124" w:name="_Toc513029224"/>
      <w:r/>
      <w:bookmarkStart w:id="125" w:name="_Toc16938540"/>
      <w:r/>
      <w:bookmarkStart w:id="126" w:name="_Toc120614217"/>
      <w:r/>
      <w:bookmarkStart w:id="127" w:name="_Toc20823296"/>
      <w:r>
        <w:rPr>
          <w:rFonts w:hint="eastAsia" w:ascii="宋体" w:hAnsi="宋体" w:eastAsia="宋体" w:cs="宋体"/>
          <w:b/>
          <w:bCs/>
          <w:color w:val="auto"/>
          <w:sz w:val="24"/>
          <w:szCs w:val="24"/>
          <w:highlight w:val="none"/>
        </w:rPr>
        <w:t xml:space="preserve">四、响应文件的递交</w:t>
      </w:r>
      <w:bookmarkEnd w:id="124"/>
      <w:r/>
      <w:bookmarkEnd w:id="125"/>
      <w:r/>
      <w:bookmarkEnd w:id="126"/>
      <w:r/>
      <w:bookmarkEnd w:id="127"/>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28" w:name="_Toc462564084"/>
      <w:r/>
      <w:bookmarkStart w:id="129" w:name="_Toc513029225"/>
      <w:r/>
      <w:bookmarkStart w:id="130" w:name="_Toc20823297"/>
      <w:r/>
      <w:bookmarkStart w:id="131" w:name="_Toc16938541"/>
      <w:r>
        <w:rPr>
          <w:rFonts w:hint="eastAsia" w:ascii="宋体" w:hAnsi="宋体" w:eastAsia="宋体" w:cs="宋体"/>
          <w:b/>
          <w:bCs/>
          <w:color w:val="auto"/>
          <w:sz w:val="24"/>
          <w:szCs w:val="24"/>
          <w:highlight w:val="none"/>
        </w:rPr>
        <w:t xml:space="preserve">18、电子磋商</w:t>
      </w:r>
      <w:bookmarkEnd w:id="128"/>
      <w:r/>
      <w:bookmarkEnd w:id="129"/>
      <w:r/>
      <w:bookmarkEnd w:id="130"/>
      <w:r/>
      <w:bookmarkEnd w:id="131"/>
      <w:r>
        <w:rPr>
          <w:rFonts w:hint="eastAsia" w:ascii="宋体" w:hAnsi="宋体" w:eastAsia="宋体" w:cs="宋体"/>
          <w:b/>
          <w:bCs/>
          <w:color w:val="auto"/>
          <w:sz w:val="24"/>
          <w:szCs w:val="24"/>
          <w:highlight w:val="none"/>
        </w:rPr>
        <w:t xml:space="preserve">响应文件的递交</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2" w:name="_Toc20823298"/>
      <w:r/>
      <w:bookmarkStart w:id="133" w:name="_Toc16938542"/>
      <w:r/>
      <w:bookmarkStart w:id="134" w:name="_Toc513029226"/>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19、提交响应文件截止时间</w:t>
      </w:r>
      <w:bookmarkEnd w:id="132"/>
      <w:r/>
      <w:bookmarkEnd w:id="133"/>
      <w:r/>
      <w:bookmarkEnd w:id="134"/>
      <w:r/>
      <w:r/>
    </w:p>
    <w:p>
      <w:pPr>
        <w:ind w:left="0" w:firstLine="482"/>
        <w:jc w:val="left"/>
        <w:keepLines w:val="0"/>
        <w:keepNext/>
        <w:pageBreakBefore w:val="0"/>
        <w:spacing w:line="360" w:lineRule="auto"/>
        <w:widowControl/>
        <w:rPr>
          <w:rFonts w:hint="eastAsia" w:ascii="宋体" w:hAnsi="宋体" w:eastAsia="宋体" w:cs="宋体"/>
          <w:b/>
          <w:bCs/>
          <w:i/>
          <w:color w:val="auto"/>
          <w:sz w:val="24"/>
          <w:szCs w:val="24"/>
          <w:highlight w:val="none"/>
          <w:u w:val="single"/>
        </w:rPr>
        <w:outlineLvl w:val="9"/>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35" w:name="_Toc20823299"/>
      <w:r/>
      <w:bookmarkStart w:id="136" w:name="_Toc16938543"/>
      <w:r/>
      <w:bookmarkStart w:id="137" w:name="_Toc513029227"/>
      <w:r>
        <w:rPr>
          <w:rFonts w:hint="eastAsia" w:ascii="宋体" w:hAnsi="宋体" w:eastAsia="宋体" w:cs="宋体"/>
          <w:b/>
          <w:bCs/>
          <w:color w:val="auto"/>
          <w:sz w:val="24"/>
          <w:szCs w:val="24"/>
          <w:highlight w:val="none"/>
        </w:rPr>
        <w:t xml:space="preserve">20、响应文件</w:t>
      </w:r>
      <w:bookmarkEnd w:id="135"/>
      <w:r/>
      <w:bookmarkEnd w:id="136"/>
      <w:r/>
      <w:bookmarkEnd w:id="137"/>
      <w:r>
        <w:rPr>
          <w:rFonts w:hint="eastAsia" w:ascii="宋体" w:hAnsi="宋体" w:eastAsia="宋体" w:cs="宋体"/>
          <w:b/>
          <w:bCs/>
          <w:color w:val="auto"/>
          <w:sz w:val="24"/>
          <w:szCs w:val="24"/>
          <w:highlight w:val="none"/>
        </w:rPr>
        <w:t xml:space="preserve">的拒收</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20.1</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38" w:name="_Toc16938544"/>
      <w:r/>
      <w:bookmarkStart w:id="139" w:name="_Toc20823300"/>
      <w:r/>
      <w:bookmarkStart w:id="140" w:name="_Toc513029228"/>
      <w:r>
        <w:rPr>
          <w:rFonts w:hint="eastAsia" w:ascii="宋体" w:hAnsi="宋体" w:eastAsia="宋体" w:cs="宋体"/>
          <w:b/>
          <w:bCs/>
          <w:color w:val="auto"/>
          <w:sz w:val="24"/>
          <w:szCs w:val="24"/>
          <w:highlight w:val="none"/>
        </w:rPr>
        <w:t xml:space="preserve">21、响应文件的撤回和修改</w:t>
      </w:r>
      <w:bookmarkEnd w:id="138"/>
      <w:r/>
      <w:bookmarkEnd w:id="139"/>
      <w:r/>
      <w:bookmarkEnd w:id="140"/>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21.1响应文件的撤回</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21.1.1 电子响应文件的撤回</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21.2响应文件的修改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1" w:name="_Toc16938545"/>
      <w:r/>
      <w:bookmarkStart w:id="142" w:name="_Toc20823301"/>
      <w:r/>
      <w:bookmarkStart w:id="143" w:name="_Toc513029229"/>
      <w:r/>
      <w:bookmarkStart w:id="144" w:name="_Toc120614218"/>
      <w:r>
        <w:rPr>
          <w:rFonts w:hint="eastAsia" w:ascii="宋体" w:hAnsi="宋体" w:eastAsia="宋体" w:cs="宋体"/>
          <w:b/>
          <w:bCs/>
          <w:color w:val="auto"/>
          <w:sz w:val="24"/>
          <w:szCs w:val="24"/>
          <w:highlight w:val="none"/>
        </w:rPr>
        <w:t xml:space="preserve">五、响应文件的解密与评审</w:t>
      </w:r>
      <w:bookmarkEnd w:id="141"/>
      <w:r/>
      <w:bookmarkEnd w:id="142"/>
      <w:r/>
      <w:bookmarkEnd w:id="143"/>
      <w:r/>
      <w:bookmarkEnd w:id="144"/>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5" w:name="_Toc513029230"/>
      <w:r/>
      <w:bookmarkStart w:id="146" w:name="_Toc16938546"/>
      <w:r/>
      <w:bookmarkStart w:id="147" w:name="_Toc20823302"/>
      <w:r>
        <w:rPr>
          <w:rFonts w:hint="eastAsia" w:ascii="宋体" w:hAnsi="宋体" w:eastAsia="宋体" w:cs="宋体"/>
          <w:b/>
          <w:bCs/>
          <w:color w:val="auto"/>
          <w:sz w:val="24"/>
          <w:szCs w:val="24"/>
          <w:highlight w:val="none"/>
        </w:rPr>
        <w:t xml:space="preserve">22、</w:t>
      </w:r>
      <w:bookmarkEnd w:id="145"/>
      <w:r/>
      <w:bookmarkEnd w:id="146"/>
      <w:r/>
      <w:bookmarkEnd w:id="147"/>
      <w:r>
        <w:rPr>
          <w:rFonts w:hint="eastAsia" w:ascii="宋体" w:hAnsi="宋体" w:eastAsia="宋体" w:cs="宋体"/>
          <w:b/>
          <w:bCs/>
          <w:color w:val="auto"/>
          <w:sz w:val="24"/>
          <w:szCs w:val="24"/>
          <w:highlight w:val="none"/>
        </w:rPr>
        <w:t xml:space="preserve">响应文件解密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48" w:name="_Toc513029231"/>
      <w:r/>
      <w:bookmarkStart w:id="149" w:name="_Toc16938547"/>
      <w:r/>
      <w:bookmarkStart w:id="150" w:name="_Toc20823303"/>
      <w:r>
        <w:rPr>
          <w:rFonts w:hint="eastAsia" w:ascii="宋体" w:hAnsi="宋体" w:eastAsia="宋体" w:cs="宋体"/>
          <w:b/>
          <w:bCs/>
          <w:color w:val="auto"/>
          <w:sz w:val="24"/>
          <w:szCs w:val="24"/>
          <w:highlight w:val="none"/>
        </w:rPr>
        <w:t xml:space="preserve">23、磋商小组</w:t>
      </w:r>
      <w:r/>
    </w:p>
    <w:p>
      <w:pPr>
        <w:ind w:left="0" w:firstLine="482"/>
        <w:jc w:val="left"/>
        <w:keepLines w:val="0"/>
        <w:keepNext/>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left="0" w:firstLine="482"/>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23.2磋商小组独立工作，负责评审所有响应文件并确定成交侯选人。</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24、评审过程的保密与公正</w:t>
      </w:r>
      <w:bookmarkEnd w:id="148"/>
      <w:r/>
      <w:bookmarkEnd w:id="149"/>
      <w:r/>
      <w:bookmarkEnd w:id="150"/>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51" w:name="_Toc513029232"/>
      <w:r/>
      <w:bookmarkStart w:id="152" w:name="_Toc16938548"/>
      <w:r/>
      <w:bookmarkStart w:id="153" w:name="_Toc20823304"/>
      <w:r>
        <w:rPr>
          <w:rFonts w:hint="eastAsia" w:ascii="宋体" w:hAnsi="宋体" w:eastAsia="宋体" w:cs="宋体"/>
          <w:b/>
          <w:bCs/>
          <w:color w:val="auto"/>
          <w:sz w:val="24"/>
          <w:szCs w:val="24"/>
          <w:highlight w:val="none"/>
        </w:rPr>
        <w:t xml:space="preserve">25、评审过程中的的澄清</w:t>
      </w:r>
      <w:bookmarkEnd w:id="151"/>
      <w:r/>
      <w:bookmarkEnd w:id="152"/>
      <w:r/>
      <w:bookmarkEnd w:id="153"/>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磋商小组并非对每个供应商都作澄清要求。</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接到磋商小组澄清、说明和更正要求的供应商如未按规定做出澄清、说明和更正，其风险由供应商自行承担。</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54" w:name="_Toc16938549"/>
      <w:r/>
      <w:bookmarkStart w:id="155" w:name="_Toc20823305"/>
      <w:r/>
      <w:bookmarkStart w:id="156" w:name="_Toc513029233"/>
      <w:r>
        <w:rPr>
          <w:rFonts w:hint="eastAsia" w:ascii="宋体" w:hAnsi="宋体" w:eastAsia="宋体" w:cs="宋体"/>
          <w:b/>
          <w:bCs/>
          <w:color w:val="auto"/>
          <w:sz w:val="24"/>
          <w:szCs w:val="24"/>
          <w:highlight w:val="none"/>
        </w:rPr>
        <w:t xml:space="preserve">26、对响应文件的审</w:t>
      </w:r>
      <w:bookmarkEnd w:id="154"/>
      <w:r/>
      <w:bookmarkEnd w:id="155"/>
      <w:r/>
      <w:bookmarkEnd w:id="156"/>
      <w:r>
        <w:rPr>
          <w:rFonts w:hint="eastAsia" w:ascii="宋体" w:hAnsi="宋体" w:eastAsia="宋体" w:cs="宋体"/>
          <w:b/>
          <w:bCs/>
          <w:color w:val="auto"/>
          <w:sz w:val="24"/>
          <w:szCs w:val="24"/>
          <w:highlight w:val="none"/>
        </w:rPr>
        <w:t xml:space="preserve">查</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left="0" w:firstLine="482"/>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26.3未实质性响应磋商文件的情形</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26.3.2供应商未按照磋商文件要求上传电子响应文件的。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26.3.4供应商不具备磋商文件中规定资格要求的。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26.3.5供应商的最后报价超过了采购预算。</w:t>
      </w:r>
      <w:r/>
    </w:p>
    <w:p>
      <w:pPr>
        <w:ind w:left="0" w:firstLine="480"/>
        <w:jc w:val="left"/>
        <w:keepLines w:val="0"/>
        <w:keepNext/>
        <w:pageBreakBefore w:val="0"/>
        <w:spacing w:line="360" w:lineRule="auto"/>
        <w:widowControl/>
        <w:rPr>
          <w:rFonts w:hint="eastAsia" w:ascii="宋体" w:hAnsi="宋体" w:eastAsia="宋体" w:cs="宋体"/>
          <w:b/>
          <w:bCs w:val="0"/>
          <w:i w:val="0"/>
          <w:iCs/>
          <w:color w:val="auto"/>
          <w:sz w:val="24"/>
          <w:szCs w:val="24"/>
          <w:highlight w:val="none"/>
          <w:u w:val="none"/>
        </w:rPr>
        <w:outlineLvl w:val="9"/>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Cs/>
          <w:i/>
          <w:color w:val="auto"/>
          <w:sz w:val="24"/>
          <w:szCs w:val="24"/>
          <w:highlight w:val="none"/>
          <w:u w:val="none"/>
        </w:rPr>
        <w:t xml:space="preserve">（</w:t>
      </w:r>
      <w:r>
        <w:rPr>
          <w:rFonts w:hint="eastAsia" w:ascii="宋体" w:hAnsi="宋体" w:eastAsia="宋体" w:cs="宋体"/>
          <w:b/>
          <w:bCs w:val="0"/>
          <w:i w:val="0"/>
          <w:iCs/>
          <w:color w:val="auto"/>
          <w:sz w:val="24"/>
          <w:szCs w:val="24"/>
          <w:highlight w:val="none"/>
          <w:u w:val="none"/>
        </w:rPr>
        <w:t xml:space="preserve">本磋商文件中</w:t>
      </w:r>
      <w:r>
        <w:rPr>
          <w:rFonts w:hint="eastAsia" w:ascii="宋体" w:hAnsi="宋体" w:eastAsia="宋体" w:cs="宋体"/>
          <w:b/>
          <w:bCs w:val="0"/>
          <w:i w:val="0"/>
          <w:iCs/>
          <w:color w:val="auto"/>
          <w:spacing w:val="10"/>
          <w:sz w:val="24"/>
          <w:szCs w:val="24"/>
          <w:highlight w:val="none"/>
          <w:u w:val="none"/>
        </w:rPr>
        <w:t xml:space="preserve">标注★号</w:t>
      </w:r>
      <w:r>
        <w:rPr>
          <w:rFonts w:hint="eastAsia" w:ascii="宋体" w:hAnsi="宋体" w:eastAsia="宋体" w:cs="宋体"/>
          <w:b/>
          <w:bCs w:val="0"/>
          <w:i w:val="0"/>
          <w:iCs/>
          <w:color w:val="auto"/>
          <w:sz w:val="24"/>
          <w:szCs w:val="24"/>
          <w:highlight w:val="none"/>
          <w:u w:val="none"/>
        </w:rPr>
        <w:t xml:space="preserve">部分为实质性要求和条件）。</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26.3.8  响应文件含有采购人不能接受的附加条件的。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26.3.9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响应文件未按照磋商文件要求加盖CA电子公章的。</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26.4未实质性响应磋商文件的响应文件按无效响应处理。</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pStyle w:val="881"/>
        <w:ind w:left="0" w:right="0" w:firstLine="482"/>
        <w:jc w:val="both"/>
        <w:keepLines w:val="0"/>
        <w:keepNext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7" w:name="_Toc16938550"/>
      <w:r/>
      <w:bookmarkStart w:id="158" w:name="_Toc20823306"/>
      <w:r/>
      <w:bookmarkStart w:id="159" w:name="_Toc513029234"/>
      <w:r>
        <w:rPr>
          <w:rFonts w:hint="eastAsia" w:eastAsia="宋体" w:cs="宋体"/>
          <w:color w:val="auto"/>
          <w:sz w:val="24"/>
          <w:szCs w:val="24"/>
          <w:highlight w:val="none"/>
          <w:lang w:val="en-US" w:eastAsia="zh-CN"/>
        </w:rPr>
        <w:t xml:space="preserve">26.6</w:t>
      </w:r>
      <w:r>
        <w:rPr>
          <w:rFonts w:hint="eastAsia" w:ascii="宋体" w:hAnsi="宋体" w:eastAsia="宋体" w:cs="宋体"/>
          <w:color w:val="auto"/>
          <w:sz w:val="24"/>
          <w:szCs w:val="24"/>
          <w:highlight w:val="none"/>
        </w:rPr>
        <w:t xml:space="preserve">本项目执行苏财购【2025】62号文《关于推动解决政府采购异常低价问题相关工作的通知》采购人应在采购文件中明确评审委员会启动异常低价投标响应)审查的情形和具体要求，包括:</w:t>
      </w:r>
      <w:r/>
    </w:p>
    <w:p>
      <w:pPr>
        <w:pStyle w:val="881"/>
        <w:ind w:left="0" w:firstLine="482"/>
        <w:jc w:val="both"/>
        <w:keepLines w:val="0"/>
        <w:keepNext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pStyle w:val="881"/>
        <w:ind w:left="0" w:firstLine="482"/>
        <w:jc w:val="both"/>
        <w:keepLines w:val="0"/>
        <w:keepNext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1.投标(响应)报价低于采购项目预算50%的，即投标（响应）报价&lt;采购项目预算*50%；</w:t>
      </w:r>
      <w:r/>
    </w:p>
    <w:p>
      <w:pPr>
        <w:pStyle w:val="881"/>
        <w:ind w:left="0" w:firstLine="482"/>
        <w:jc w:val="both"/>
        <w:keepLines w:val="0"/>
        <w:keepNext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2.投标(响应)报价低于采购项目最高限价45%的，即投标（响应）报价&lt;采购项目最高限价*45%；</w:t>
      </w:r>
      <w:r/>
    </w:p>
    <w:p>
      <w:pPr>
        <w:pStyle w:val="881"/>
        <w:ind w:left="0" w:firstLine="482"/>
        <w:jc w:val="both"/>
        <w:keepLines w:val="0"/>
        <w:keepNext w:val="0"/>
        <w:spacing w:before="0" w:beforeAutospacing="0" w:after="0" w:afterAutospacing="0" w:line="40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pStyle w:val="881"/>
        <w:ind w:firstLine="482"/>
        <w:jc w:val="both"/>
        <w:keepLines w:val="0"/>
        <w:keepNext w:val="0"/>
        <w:spacing w:beforeAutospacing="0" w:afterAutospacing="0" w:line="400" w:lineRule="exact"/>
        <w:rPr>
          <w:color w:val="auto"/>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83"/>
        <w:rPr>
          <w:rFonts w:hint="eastAsia"/>
          <w:color w:val="auto"/>
          <w:highlight w:val="none"/>
        </w:rPr>
      </w:pPr>
      <w:r>
        <w:rPr>
          <w:rFonts w:hint="eastAsia"/>
          <w:color w:val="auto"/>
          <w:highlight w:val="none"/>
        </w:rPr>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27、</w:t>
      </w:r>
      <w:bookmarkEnd w:id="157"/>
      <w:r/>
      <w:bookmarkEnd w:id="158"/>
      <w:r/>
      <w:bookmarkEnd w:id="159"/>
      <w:r>
        <w:rPr>
          <w:rFonts w:hint="eastAsia" w:ascii="宋体" w:hAnsi="宋体" w:eastAsia="宋体" w:cs="宋体"/>
          <w:b/>
          <w:bCs/>
          <w:color w:val="auto"/>
          <w:sz w:val="24"/>
          <w:szCs w:val="24"/>
          <w:highlight w:val="none"/>
        </w:rPr>
        <w:t xml:space="preserve">磋商程序及评审方法和评审标准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27.1磋商程序</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评审方法和评审标准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27.2.2评审标准</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见本磋商文件第五章规定。</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27.3采购活动终止的情况</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出现下列情形之一的，本次竞争性磋商采购活动将被终止：</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27.3.2出现影响采购公正的违法、违规行为的。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0" w:name="_Toc513029235"/>
      <w:r/>
      <w:bookmarkStart w:id="161" w:name="_Toc120614219"/>
      <w:r/>
      <w:bookmarkStart w:id="162" w:name="_Toc20823307"/>
      <w:r/>
      <w:bookmarkStart w:id="163" w:name="_Toc16938551"/>
      <w:r>
        <w:rPr>
          <w:rFonts w:hint="eastAsia" w:ascii="宋体" w:hAnsi="宋体" w:eastAsia="宋体" w:cs="宋体"/>
          <w:b/>
          <w:bCs/>
          <w:color w:val="auto"/>
          <w:sz w:val="24"/>
          <w:szCs w:val="24"/>
          <w:highlight w:val="none"/>
        </w:rPr>
        <w:t xml:space="preserve">六、</w:t>
      </w:r>
      <w:bookmarkEnd w:id="160"/>
      <w:r/>
      <w:bookmarkEnd w:id="161"/>
      <w:r/>
      <w:bookmarkEnd w:id="162"/>
      <w:r/>
      <w:bookmarkEnd w:id="163"/>
      <w:r>
        <w:rPr>
          <w:rFonts w:hint="eastAsia" w:ascii="宋体" w:hAnsi="宋体" w:eastAsia="宋体" w:cs="宋体"/>
          <w:b/>
          <w:bCs/>
          <w:color w:val="auto"/>
          <w:sz w:val="24"/>
          <w:szCs w:val="24"/>
          <w:highlight w:val="none"/>
        </w:rPr>
        <w:t xml:space="preserve">成交</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4" w:name="_Toc513029238"/>
      <w:r/>
      <w:bookmarkStart w:id="165" w:name="_Toc16938554"/>
      <w:r/>
      <w:bookmarkStart w:id="166" w:name="_Toc20823310"/>
      <w:r>
        <w:rPr>
          <w:rFonts w:hint="eastAsia" w:ascii="宋体" w:hAnsi="宋体" w:eastAsia="宋体" w:cs="宋体"/>
          <w:b/>
          <w:bCs/>
          <w:color w:val="auto"/>
          <w:sz w:val="24"/>
          <w:szCs w:val="24"/>
          <w:highlight w:val="none"/>
        </w:rPr>
        <w:t xml:space="preserve">28、</w:t>
      </w:r>
      <w:bookmarkEnd w:id="164"/>
      <w:r>
        <w:rPr>
          <w:rFonts w:hint="eastAsia" w:ascii="宋体" w:hAnsi="宋体" w:eastAsia="宋体" w:cs="宋体"/>
          <w:b/>
          <w:bCs/>
          <w:color w:val="auto"/>
          <w:sz w:val="24"/>
          <w:szCs w:val="24"/>
          <w:highlight w:val="none"/>
        </w:rPr>
        <w:t xml:space="preserve">确定</w:t>
      </w:r>
      <w:bookmarkEnd w:id="165"/>
      <w:r/>
      <w:bookmarkEnd w:id="166"/>
      <w:r>
        <w:rPr>
          <w:rFonts w:hint="eastAsia" w:ascii="宋体" w:hAnsi="宋体" w:eastAsia="宋体" w:cs="宋体"/>
          <w:b/>
          <w:bCs/>
          <w:color w:val="auto"/>
          <w:sz w:val="24"/>
          <w:szCs w:val="24"/>
          <w:highlight w:val="none"/>
        </w:rPr>
        <w:t xml:space="preserve">成交单位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28.3.1提供虚假材料谋取成交的。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28.3.7将政府采购合同转包的。</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7" w:name="_Toc200451960"/>
      <w:r>
        <w:rPr>
          <w:rFonts w:hint="eastAsia" w:ascii="宋体" w:hAnsi="宋体" w:eastAsia="宋体" w:cs="宋体"/>
          <w:b/>
          <w:bCs/>
          <w:color w:val="auto"/>
          <w:sz w:val="24"/>
          <w:szCs w:val="24"/>
          <w:highlight w:val="none"/>
        </w:rPr>
        <w:t xml:space="preserve">29、质疑处理</w:t>
      </w:r>
      <w:bookmarkEnd w:id="167"/>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29.2.3对成交结果提出质疑的，为成交结果公告期限届满之日。</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left"/>
        <w:keepLines w:val="0"/>
        <w:keepNext/>
        <w:pageBreakBefore w:val="0"/>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只接收以纸质原件形式送达的质疑,建议供应商尽量通过邮寄方式提交质疑（采购人和采购代理机构不接受未填写快递运单的快件）。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采购人质疑接收人及联系方式见本磋商文件第一章。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 以下情形的质疑不予受理</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29.5.1 内容不符合《政府采购质疑和投诉办法》第十二条规定的质疑。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29.5.2 超出政府采购法定期限的质疑。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29.5.3 以传真、电子邮件等方式递交的非原件形式的质疑。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30、成交通知书</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bCs w:val="0"/>
          <w:color w:val="auto"/>
          <w:sz w:val="24"/>
          <w:szCs w:val="24"/>
          <w:highlight w:val="none"/>
          <w:lang w:val="en-US" w:eastAsia="zh-CN"/>
        </w:rPr>
        <w:t xml:space="preserve">成交</w:t>
      </w:r>
      <w:r>
        <w:rPr>
          <w:rFonts w:hint="eastAsia" w:ascii="宋体" w:hAnsi="宋体" w:eastAsia="宋体" w:cs="宋体"/>
          <w:b/>
          <w:bCs w:val="0"/>
          <w:color w:val="auto"/>
          <w:sz w:val="24"/>
          <w:szCs w:val="24"/>
          <w:highlight w:val="none"/>
          <w:lang w:eastAsia="zh-CN"/>
        </w:rPr>
        <w:t xml:space="preserve">人</w:t>
      </w:r>
      <w:r>
        <w:rPr>
          <w:rFonts w:hint="eastAsia" w:ascii="宋体" w:hAnsi="宋体" w:eastAsia="宋体" w:cs="宋体"/>
          <w:b/>
          <w:bCs w:val="0"/>
          <w:color w:val="auto"/>
          <w:sz w:val="24"/>
          <w:szCs w:val="24"/>
          <w:highlight w:val="none"/>
        </w:rPr>
        <w:t xml:space="preserve">在领取中标通知书时，需提供</w:t>
      </w:r>
      <w:r>
        <w:rPr>
          <w:rFonts w:hint="eastAsia" w:ascii="宋体" w:hAnsi="宋体" w:eastAsia="宋体" w:cs="宋体"/>
          <w:b/>
          <w:bCs w:val="0"/>
          <w:color w:val="auto"/>
          <w:sz w:val="24"/>
          <w:szCs w:val="24"/>
          <w:highlight w:val="none"/>
          <w:lang w:eastAsia="zh-CN"/>
        </w:rPr>
        <w:t xml:space="preserve">一正三副</w:t>
      </w:r>
      <w:r>
        <w:rPr>
          <w:rFonts w:hint="eastAsia" w:ascii="宋体" w:hAnsi="宋体" w:eastAsia="宋体" w:cs="宋体"/>
          <w:b/>
          <w:bCs w:val="0"/>
          <w:color w:val="auto"/>
          <w:sz w:val="24"/>
          <w:szCs w:val="24"/>
          <w:highlight w:val="none"/>
        </w:rPr>
        <w:t xml:space="preserve">与电子</w:t>
      </w:r>
      <w:r>
        <w:rPr>
          <w:rFonts w:hint="eastAsia" w:ascii="宋体" w:hAnsi="宋体" w:cs="宋体"/>
          <w:b/>
          <w:bCs w:val="0"/>
          <w:color w:val="auto"/>
          <w:sz w:val="24"/>
          <w:szCs w:val="24"/>
          <w:highlight w:val="none"/>
          <w:lang w:val="en-US" w:eastAsia="zh-CN"/>
        </w:rPr>
        <w:t xml:space="preserve">响应文件</w:t>
      </w:r>
      <w:r>
        <w:rPr>
          <w:rFonts w:hint="eastAsia" w:ascii="宋体" w:hAnsi="宋体" w:eastAsia="宋体" w:cs="宋体"/>
          <w:b/>
          <w:bCs w:val="0"/>
          <w:color w:val="auto"/>
          <w:sz w:val="24"/>
          <w:szCs w:val="24"/>
          <w:highlight w:val="none"/>
        </w:rPr>
        <w:t xml:space="preserve">一致的纸质打印</w:t>
      </w:r>
      <w:r>
        <w:rPr>
          <w:rFonts w:hint="eastAsia" w:ascii="宋体" w:hAnsi="宋体" w:cs="宋体"/>
          <w:b/>
          <w:bCs w:val="0"/>
          <w:color w:val="auto"/>
          <w:sz w:val="24"/>
          <w:szCs w:val="24"/>
          <w:highlight w:val="none"/>
          <w:lang w:val="en-US" w:eastAsia="zh-CN"/>
        </w:rPr>
        <w:t xml:space="preserve">响应文件</w:t>
      </w:r>
      <w:r>
        <w:rPr>
          <w:rFonts w:hint="eastAsia" w:ascii="宋体" w:hAnsi="宋体" w:eastAsia="宋体" w:cs="宋体"/>
          <w:b/>
          <w:bCs w:val="0"/>
          <w:color w:val="auto"/>
          <w:sz w:val="24"/>
          <w:szCs w:val="24"/>
          <w:highlight w:val="none"/>
        </w:rPr>
        <w:t xml:space="preserve">，须封面、骑缝加盖公章</w:t>
      </w:r>
      <w:r>
        <w:rPr>
          <w:rFonts w:hint="eastAsia" w:ascii="宋体" w:hAnsi="宋体" w:eastAsia="宋体" w:cs="宋体"/>
          <w:b/>
          <w:bCs w:val="0"/>
          <w:color w:val="auto"/>
          <w:sz w:val="24"/>
          <w:szCs w:val="24"/>
          <w:highlight w:val="none"/>
          <w:lang w:eastAsia="zh-CN"/>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七、政策功能</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落实的政府采购政策</w:t>
      </w:r>
      <w:r/>
    </w:p>
    <w:p>
      <w:pPr>
        <w:ind w:left="0" w:right="0" w:firstLine="480"/>
        <w:jc w:val="left"/>
        <w:keepLines w:val="0"/>
        <w:keepNext/>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left="0" w:right="0" w:firstLine="480"/>
        <w:jc w:val="left"/>
        <w:keepLines w:val="0"/>
        <w:keepNext/>
        <w:pageBreakBefore w:val="0"/>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办法》）规定，中小企业是指在中华人民共和国境内依法设立，依据国务院批准的中小企业划分标准确定的中型企业、小型企业、微型企业，但与大企业的负责人为同一人，或者与大企业存在直接控股、管理关系的除外。</w:t>
      </w:r>
      <w:r>
        <w:rPr>
          <w:rFonts w:hint="eastAsia" w:ascii="宋体" w:hAnsi="宋体" w:eastAsia="宋体" w:cs="宋体"/>
          <w:color w:val="auto"/>
          <w:sz w:val="24"/>
          <w:szCs w:val="24"/>
          <w:highlight w:val="none"/>
        </w:rPr>
        <w:t xml:space="preserve">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auto"/>
          <w:sz w:val="24"/>
          <w:szCs w:val="24"/>
          <w:highlight w:val="none"/>
          <w:lang w:eastAsia="zh-CN"/>
        </w:rPr>
        <w:t xml:space="preserve">。</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31.2</w:t>
      </w:r>
      <w:r>
        <w:rPr>
          <w:rFonts w:hint="eastAsia" w:ascii="宋体" w:hAnsi="宋体" w:eastAsia="宋体" w:cs="宋体"/>
          <w:b/>
          <w:bCs/>
          <w:color w:val="auto"/>
          <w:sz w:val="24"/>
          <w:szCs w:val="24"/>
          <w:highlight w:val="none"/>
          <w:lang w:eastAsia="zh-CN"/>
        </w:rPr>
        <w:t xml:space="preserve">本项目专门面向中型企业、小型企业、微型企业、残疾人福利性单位、监狱企业进行采购，符合文件要求的</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应当提供的材料：</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为中型企业、小型企业、微型企业的，提供《中小企业声明函》（第六章</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val="en-US" w:eastAsia="zh-CN"/>
        </w:rPr>
        <w:t xml:space="preserve">文件格式）。</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（2）残疾人福利性单位视同小型、微型企业，提供《残疾人福利性单位声明函》（第六章 </w:t>
      </w:r>
      <w:r>
        <w:rPr>
          <w:rFonts w:hint="eastAsia" w:ascii="宋体" w:hAnsi="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val="en-US" w:eastAsia="zh-CN"/>
        </w:rPr>
        <w:t xml:space="preserve">文件格式）。</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按照本办法规定提供声明函内容不实的，属于提供虚假材料谋取中标、成交，依照《中华人民共和国政府采购法》等国家有关规定追究相应责任。</w:t>
      </w:r>
      <w:r/>
    </w:p>
    <w:p>
      <w:pPr>
        <w:pStyle w:val="1146"/>
        <w:numPr>
          <w:ilvl w:val="1"/>
          <w:numId w:val="0"/>
        </w:numPr>
        <w:ind w:left="0" w:firstLine="482"/>
        <w:jc w:val="left"/>
        <w:keepLines w:val="0"/>
        <w:keepNext/>
        <w:pageBreakBefore w:val="0"/>
        <w:spacing w:line="360" w:lineRule="auto"/>
        <w:widowControl/>
        <w:tabs>
          <w:tab w:val="left" w:pos="360" w:leader="none"/>
        </w:tabs>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32、支持绿色发展</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left="0" w:firstLine="482"/>
        <w:jc w:val="left"/>
        <w:keepLines/>
        <w:keepNext/>
        <w:pageBreakBefore w:val="0"/>
        <w:spacing w:line="360" w:lineRule="auto"/>
        <w:widowControl/>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32.2为助力打好污染防治攻坚战，严格执行绿色采购需求标准。推广使用绿色包装，政府采购货物、工程和服务项目中涉及商品包装、快递包装、绿色数据中心的，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提供产品及相关快递服务的具体包装等要求要参考《商品包装政府采购需求标准（试行）》、《快递包装政府采购需求标准（试行）》、《绿色数据中心政府采购需求标准（试行）》。</w:t>
      </w:r>
      <w:r/>
    </w:p>
    <w:p>
      <w:pPr>
        <w:ind w:left="0" w:firstLine="480"/>
        <w:jc w:val="left"/>
        <w:keepLines w:val="0"/>
        <w:keepNext/>
        <w:pageBreakBefore w:val="0"/>
        <w:spacing w:line="360" w:lineRule="auto"/>
        <w:widowControl/>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32.3</w:t>
      </w:r>
      <w:r>
        <w:rPr>
          <w:rFonts w:hint="eastAsia" w:ascii="宋体" w:hAnsi="宋体" w:eastAsia="宋体" w:cs="宋体"/>
          <w:color w:val="auto"/>
          <w:sz w:val="24"/>
          <w:szCs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rPr>
        <w:outlineLvl w:val="9"/>
      </w:pPr>
      <w:r/>
      <w:bookmarkStart w:id="168" w:name="_Toc120614220"/>
      <w:r/>
      <w:bookmarkStart w:id="169" w:name="_Toc16938552"/>
      <w:r/>
      <w:bookmarkStart w:id="170" w:name="_Toc513029236"/>
      <w:r/>
      <w:bookmarkStart w:id="171" w:name="_Toc2082330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、授予合同</w:t>
      </w:r>
      <w:bookmarkEnd w:id="168"/>
      <w:r/>
      <w:bookmarkEnd w:id="169"/>
      <w:r/>
      <w:bookmarkEnd w:id="170"/>
      <w:r/>
      <w:bookmarkEnd w:id="171"/>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bookmarkStart w:id="172" w:name="_Toc513029237"/>
      <w:r/>
      <w:bookmarkStart w:id="173" w:name="_Toc16938553"/>
      <w:r/>
      <w:bookmarkStart w:id="174" w:name="_Toc20823309"/>
      <w:r>
        <w:rPr>
          <w:rFonts w:hint="eastAsia" w:ascii="宋体" w:hAnsi="宋体" w:eastAsia="宋体" w:cs="宋体"/>
          <w:b/>
          <w:bCs/>
          <w:color w:val="auto"/>
          <w:sz w:val="24"/>
          <w:szCs w:val="24"/>
          <w:highlight w:val="none"/>
          <w:lang w:val="en-US" w:eastAsia="zh-CN"/>
        </w:rPr>
        <w:t xml:space="preserve">33. 签订合同</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签订合同后，</w:t>
      </w:r>
      <w:r>
        <w:rPr>
          <w:rFonts w:hint="eastAsia" w:ascii="宋体" w:hAnsi="宋体" w:eastAsia="宋体" w:cs="宋体"/>
          <w:b/>
          <w:bCs/>
          <w:i/>
          <w:color w:val="auto"/>
          <w:sz w:val="24"/>
          <w:szCs w:val="24"/>
          <w:highlight w:val="none"/>
          <w:u w:val="single"/>
        </w:rPr>
        <w:t xml:space="preserve">成交供应商不得将合同标的进行转包</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34、标的物的追加</w:t>
      </w:r>
      <w:r/>
    </w:p>
    <w:p>
      <w:pPr>
        <w:ind w:left="0" w:firstLine="480"/>
        <w:jc w:val="left"/>
        <w:keepLines w:val="0"/>
        <w:keepNex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2"/>
      <w:r/>
      <w:bookmarkEnd w:id="173"/>
      <w:r/>
      <w:bookmarkEnd w:id="174"/>
      <w:r/>
      <w:r/>
    </w:p>
    <w:p>
      <w:pPr>
        <w:ind w:left="0" w:firstLine="482"/>
        <w:jc w:val="left"/>
        <w:keepLines w:val="0"/>
        <w:keepNext/>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35、政府采购履约资金扶持政策</w:t>
      </w:r>
      <w:r/>
    </w:p>
    <w:p>
      <w:pPr>
        <w:ind w:left="0" w:firstLine="480"/>
        <w:jc w:val="left"/>
        <w:keepLines w:val="0"/>
        <w:keepNext/>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pStyle w:val="1068"/>
        <w:ind w:left="0" w:firstLine="482"/>
        <w:jc w:val="left"/>
        <w:keepLines w:val="0"/>
        <w:keepNext/>
        <w:pageBreakBefore w:val="0"/>
        <w:spacing w:before="0" w:after="0"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、其他事项</w:t>
      </w:r>
      <w:r/>
    </w:p>
    <w:p>
      <w:pPr>
        <w:ind w:left="0" w:firstLine="480"/>
        <w:jc w:val="left"/>
        <w:keepLines w:val="0"/>
        <w:keepNext/>
        <w:pageBreakBefore w:val="0"/>
        <w:spacing w:line="360" w:lineRule="auto"/>
        <w:widowControl/>
        <w:rPr>
          <w:rFonts w:hint="eastAsia" w:ascii="宋体" w:hAnsi="宋体" w:eastAsia="宋体" w:cs="宋体"/>
          <w:b/>
          <w:bCs/>
          <w:i w:val="0"/>
          <w:iCs w:val="0"/>
          <w:color w:val="auto"/>
          <w:sz w:val="24"/>
          <w:szCs w:val="24"/>
          <w:highlight w:val="none"/>
        </w:rPr>
      </w:pPr>
      <w:r/>
      <w:bookmarkStart w:id="175" w:name="_Toc31203"/>
      <w:r/>
      <w:bookmarkStart w:id="176" w:name="_Toc465856613"/>
      <w:r/>
      <w:bookmarkStart w:id="177" w:name="_Toc18421"/>
      <w:r/>
      <w:bookmarkStart w:id="178" w:name="_Toc14554"/>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b/>
          <w:bCs/>
          <w:i w:val="0"/>
          <w:iCs w:val="0"/>
          <w:color w:val="auto"/>
          <w:sz w:val="24"/>
          <w:szCs w:val="24"/>
          <w:highlight w:val="none"/>
        </w:rPr>
        <w:t xml:space="preserve">代理服务费：</w:t>
      </w:r>
      <w:r>
        <w:rPr>
          <w:rFonts w:hint="eastAsia" w:ascii="宋体" w:hAnsi="宋体" w:eastAsia="宋体" w:cs="宋体"/>
          <w:b/>
          <w:bCs/>
          <w:color w:val="auto"/>
          <w:sz w:val="24"/>
          <w:szCs w:val="24"/>
          <w:highlight w:val="none"/>
        </w:rPr>
        <w:t xml:space="preserve">本项目的招标代理费按</w:t>
      </w:r>
      <w:r>
        <w:rPr>
          <w:rFonts w:hint="eastAsia" w:ascii="宋体" w:hAnsi="宋体" w:cs="宋体"/>
          <w:b/>
          <w:bCs/>
          <w:color w:val="auto"/>
          <w:sz w:val="24"/>
          <w:szCs w:val="24"/>
          <w:highlight w:val="none"/>
          <w:lang w:val="en-US" w:eastAsia="zh-CN"/>
        </w:rPr>
        <w:t xml:space="preserve">9600.00</w:t>
      </w:r>
      <w:r>
        <w:rPr>
          <w:rFonts w:hint="eastAsia" w:ascii="宋体" w:hAnsi="宋体" w:eastAsia="宋体" w:cs="宋体"/>
          <w:b/>
          <w:bCs/>
          <w:color w:val="auto"/>
          <w:sz w:val="24"/>
          <w:szCs w:val="24"/>
          <w:highlight w:val="none"/>
          <w:lang w:val="en-US" w:eastAsia="zh-CN"/>
        </w:rPr>
        <w:t xml:space="preserve">元计取</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由中标人在领取中标通知书时一次性支付，支付方式：电汇，网银，现金。</w:t>
      </w:r>
      <w:r/>
    </w:p>
    <w:p>
      <w:pPr>
        <w:ind w:left="0" w:firstLine="480"/>
        <w:jc w:val="left"/>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3</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、解释权</w:t>
      </w:r>
      <w:r/>
    </w:p>
    <w:p>
      <w:pPr>
        <w:ind w:left="0" w:firstLine="480"/>
        <w:jc w:val="left"/>
        <w:keepLines w:val="0"/>
        <w:keepNext/>
        <w:pageBreakBefore w:val="0"/>
        <w:spacing w:line="360" w:lineRule="auto"/>
        <w:widowControl/>
        <w:rPr>
          <w:rStyle w:val="1044"/>
          <w:rFonts w:hint="eastAsia" w:ascii="宋体" w:hAnsi="宋体" w:eastAsia="宋体" w:cs="宋体"/>
          <w:b w:val="0"/>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本</w:t>
      </w:r>
      <w:r>
        <w:rPr>
          <w:rFonts w:hint="eastAsia" w:ascii="宋体" w:hAnsi="宋体" w:eastAsia="宋体" w:cs="宋体"/>
          <w:i w:val="0"/>
          <w:iCs w:val="0"/>
          <w:color w:val="auto"/>
          <w:sz w:val="24"/>
          <w:szCs w:val="24"/>
          <w:highlight w:val="none"/>
          <w:lang w:eastAsia="zh-CN"/>
        </w:rPr>
        <w:t xml:space="preserve">招标文件</w:t>
      </w:r>
      <w:r>
        <w:rPr>
          <w:rFonts w:hint="eastAsia" w:ascii="宋体" w:hAnsi="宋体" w:eastAsia="宋体" w:cs="宋体"/>
          <w:i w:val="0"/>
          <w:iCs w:val="0"/>
          <w:color w:val="auto"/>
          <w:sz w:val="24"/>
          <w:szCs w:val="24"/>
          <w:highlight w:val="none"/>
        </w:rPr>
        <w:t xml:space="preserve">根据《中华人民共和国政府采购法》《中华人民共和国政府采购法实施条例》《政府采购货物和服务招标投标管理办法》及相关法律法规编制，解释权归采购代理机构。</w:t>
      </w:r>
      <w:r/>
    </w:p>
    <w:p>
      <w:pPr>
        <w:pStyle w:val="1058"/>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br w:type="page" w:clear="all"/>
      </w:r>
      <w:bookmarkEnd w:id="175"/>
      <w:r/>
      <w:bookmarkEnd w:id="176"/>
      <w:r/>
      <w:bookmarkEnd w:id="177"/>
      <w:r/>
      <w:bookmarkEnd w:id="178"/>
      <w:r/>
      <w:bookmarkStart w:id="179" w:name="_Toc12693"/>
      <w:r/>
      <w:bookmarkStart w:id="180" w:name="_Toc465856614"/>
      <w:r/>
      <w:bookmarkStart w:id="181" w:name="_Toc29722"/>
      <w:r/>
      <w:r/>
    </w:p>
    <w:p>
      <w:pPr>
        <w:pStyle w:val="1037"/>
        <w:numPr>
          <w:ilvl w:val="0"/>
          <w:numId w:val="4"/>
        </w:numPr>
        <w:ind w:left="0" w:firstLine="0"/>
        <w:jc w:val="center"/>
        <w:keepNext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合同条款及格式</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赣榆区政府采购</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w:t>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color w:val="auto"/>
          <w:sz w:val="32"/>
          <w:szCs w:val="32"/>
          <w:highlight w:val="none"/>
          <w:u w:val="single"/>
        </w:rPr>
      </w:pPr>
      <w:r>
        <w:rPr>
          <w:rFonts w:hint="eastAsia" w:ascii="宋体" w:hAnsi="宋体"/>
          <w:b/>
          <w:bCs/>
          <w:color w:val="auto"/>
          <w:sz w:val="32"/>
          <w:szCs w:val="32"/>
          <w:highlight w:val="none"/>
          <w:u w:val="single"/>
        </w:rPr>
        <w:t xml:space="preserve">赣榆区2025年度健康松树保护项目</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服  务  合  同</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合同编号：</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 </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采购人：  </w:t>
      </w:r>
      <w:r/>
    </w:p>
    <w:p>
      <w:pPr>
        <w:ind w:left="850"/>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成交供应商：  </w:t>
      </w:r>
      <w:r/>
    </w:p>
    <w:p>
      <w:pPr>
        <w:jc w:val="center"/>
        <w:spacing w:line="360" w:lineRule="auto"/>
        <w:rPr>
          <w:rFonts w:hint="eastAsia" w:ascii="宋体" w:hAnsi="宋体"/>
          <w:bCs/>
          <w:color w:val="auto"/>
          <w:sz w:val="30"/>
          <w:szCs w:val="30"/>
          <w:highlight w:val="none"/>
        </w:rPr>
      </w:pPr>
      <w:r>
        <w:rPr>
          <w:rFonts w:hint="eastAsia" w:ascii="宋体" w:hAnsi="宋体"/>
          <w:bCs/>
          <w:color w:val="auto"/>
          <w:sz w:val="30"/>
          <w:szCs w:val="30"/>
          <w:highlight w:val="none"/>
        </w:rPr>
        <w:t xml:space="preserve"> </w:t>
      </w:r>
      <w:r/>
    </w:p>
    <w:p>
      <w:pPr>
        <w:jc w:val="center"/>
        <w:spacing w:line="360" w:lineRule="auto"/>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签订日期：  年  月  日</w:t>
      </w:r>
      <w:r/>
    </w:p>
    <w:p>
      <w:pPr>
        <w:rPr>
          <w:rFonts w:hint="eastAsia"/>
          <w:color w:val="auto"/>
          <w:highlight w:val="none"/>
        </w:rPr>
      </w:pPr>
      <w:r>
        <w:rPr>
          <w:color w:val="auto"/>
          <w:highlight w:val="none"/>
        </w:rPr>
        <w:t xml:space="preserve"> </w:t>
      </w:r>
      <w:r/>
    </w:p>
    <w:p>
      <w:pPr>
        <w:rPr>
          <w:color w:val="auto"/>
          <w:highlight w:val="none"/>
        </w:rPr>
      </w:pPr>
      <w:r>
        <w:rPr>
          <w:color w:val="auto"/>
          <w:highlight w:val="none"/>
        </w:rPr>
        <w:t xml:space="preserve"> </w:t>
      </w:r>
      <w:r/>
    </w:p>
    <w:p>
      <w:pPr>
        <w:rPr>
          <w:color w:val="auto"/>
          <w:highlight w:val="none"/>
        </w:rPr>
      </w:pPr>
      <w:r>
        <w:rPr>
          <w:color w:val="auto"/>
          <w:highlight w:val="none"/>
        </w:rPr>
        <w:t xml:space="preserve"> </w:t>
      </w:r>
      <w:r/>
    </w:p>
    <w:p>
      <w:pPr>
        <w:rPr>
          <w:color w:val="auto"/>
          <w:highlight w:val="none"/>
        </w:rPr>
      </w:pPr>
      <w:r>
        <w:rPr>
          <w:color w:val="auto"/>
          <w:highlight w:val="none"/>
        </w:rPr>
        <w:t xml:space="preserve"> </w:t>
      </w:r>
      <w:r/>
    </w:p>
    <w:p>
      <w:pPr>
        <w:rPr>
          <w:rFonts w:ascii="宋体" w:hAnsi="宋体"/>
          <w:color w:val="auto"/>
          <w:sz w:val="24"/>
          <w:szCs w:val="24"/>
          <w:highlight w:val="none"/>
        </w:rPr>
      </w:pPr>
      <w:r>
        <w:rPr>
          <w:color w:val="auto"/>
          <w:highlight w:val="none"/>
        </w:rPr>
        <w:t xml:space="preserve">  </w:t>
      </w:r>
      <w:r>
        <w:rPr>
          <w:rFonts w:hint="eastAsia" w:ascii="宋体" w:hAnsi="宋体"/>
          <w:color w:val="auto"/>
          <w:sz w:val="24"/>
          <w:szCs w:val="24"/>
          <w:highlight w:val="none"/>
        </w:rPr>
        <w:t xml:space="preserve">以下为中标（成交）后签定本项目合同的通用条款，中标人（成交商）和采购人不得提出实质性的修改，关于专用条款将由采购人与中标人（成交商）结合本项目具体情况协商后签订。</w:t>
      </w:r>
      <w:r/>
    </w:p>
    <w:p>
      <w:pPr>
        <w:ind w:left="359" w:firstLine="2798"/>
        <w:spacing w:line="360"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赣榆区政府采购合同</w:t>
      </w:r>
      <w:r/>
    </w:p>
    <w:p>
      <w:pPr>
        <w:ind w:left="420" w:right="63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合同编号：</w:t>
      </w:r>
      <w:r>
        <w:rPr>
          <w:rFonts w:hint="eastAsia" w:ascii="宋体" w:hAnsi="宋体"/>
          <w:color w:val="auto"/>
          <w:sz w:val="24"/>
          <w:szCs w:val="24"/>
          <w:highlight w:val="none"/>
          <w:u w:val="single"/>
        </w:rPr>
        <w:t xml:space="preserve">             </w:t>
      </w:r>
      <w:r/>
    </w:p>
    <w:p>
      <w:pPr>
        <w:spacing w:line="360" w:lineRule="auto"/>
        <w:rPr>
          <w:rFonts w:hint="eastAsia" w:ascii="宋体" w:hAnsi="宋体"/>
          <w:color w:val="auto"/>
          <w:sz w:val="24"/>
          <w:szCs w:val="24"/>
          <w:highlight w:val="none"/>
          <w:u w:val="single"/>
        </w:rPr>
      </w:pPr>
      <w:r>
        <w:rPr>
          <w:rFonts w:hint="eastAsia" w:ascii="宋体" w:hAnsi="宋体"/>
          <w:b/>
          <w:bCs/>
          <w:color w:val="auto"/>
          <w:sz w:val="24"/>
          <w:szCs w:val="24"/>
          <w:highlight w:val="none"/>
        </w:rPr>
        <w:t xml:space="preserve">一、项目名称：   </w:t>
      </w:r>
      <w:r>
        <w:rPr>
          <w:rFonts w:hint="eastAsia" w:ascii="宋体" w:hAnsi="宋体"/>
          <w:color w:val="auto"/>
          <w:sz w:val="24"/>
          <w:szCs w:val="24"/>
          <w:highlight w:val="none"/>
        </w:rPr>
        <w:t xml:space="preserve">                        项目编号：</w:t>
      </w:r>
      <w:r>
        <w:rPr>
          <w:rFonts w:hint="eastAsia" w:ascii="宋体" w:hAnsi="宋体"/>
          <w:color w:val="auto"/>
          <w:sz w:val="24"/>
          <w:szCs w:val="24"/>
          <w:highlight w:val="none"/>
          <w:u w:val="single"/>
        </w:rPr>
        <w:t xml:space="preserve">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甲方（采购人）：</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乙方（供应商）：</w:t>
      </w:r>
      <w:r/>
    </w:p>
    <w:p>
      <w:pPr>
        <w:ind w:left="479"/>
        <w:jc w:val="left"/>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甲、乙双方根据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日采购结果，甲方接收乙方为本项目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采购所做的响应文件，甲乙双方同意签署本合同（以下简称合同）。</w:t>
      </w:r>
      <w:r/>
    </w:p>
    <w:p>
      <w:pPr>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二、项目内容：开展赣榆区全区14900亩松林的枯死</w:t>
      </w:r>
      <w:r>
        <w:rPr>
          <w:rFonts w:hint="eastAsia" w:ascii="宋体" w:hAnsi="宋体"/>
          <w:b/>
          <w:color w:val="auto"/>
          <w:sz w:val="24"/>
          <w:szCs w:val="24"/>
          <w:highlight w:val="none"/>
        </w:rPr>
        <w:t xml:space="preserve">树</w:t>
      </w:r>
      <w:r>
        <w:rPr>
          <w:rFonts w:hint="eastAsia" w:ascii="宋体" w:hAnsi="宋体"/>
          <w:b/>
          <w:bCs/>
          <w:color w:val="auto"/>
          <w:sz w:val="24"/>
          <w:szCs w:val="24"/>
          <w:highlight w:val="none"/>
        </w:rPr>
        <w:t xml:space="preserve">清理、松林监测、秋季普查、打孔注药、增挂诱捕器等工作。</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1、枯死树清理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于新发生的枯死松树，采取随发现随除治。每株采伐的枯死松树，要求使用管理软件记录照片上显示时间、天气、地点、海拔、经纬度等信息，并将伐桩位置、采伐处理方式、枯死树的胸径及地径、松木的去向等信息登记在册，以确保伐除松木源头监管及施工数量的真实性。对枯死松树进行及时定位、订牌、清理，对树干及大于 1cm 以上枝桠就地进行焚烧或粉碎， 编号牌在伐桩封闭后，钉在伐桩的横截面上（如果是刨除的伐桩可将编号牌钉在最近的树上），拍照存档。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（2）伐桩处理。伐桩高度不得超过地面5厘米，应采用深挖找平、剥皮、防逸钢 丝网罩、回填覆土等 4 个步骤进行处理，采用防逸罩处理。深挖找平：对伐桩尽可能挖到土面以下，去掉表皮的腐殖质，并找平地面。剥皮：对裸露在地面以上的伐桩进行剥皮，并对上表面做平整处理。防逸罩密封。用钢丝直径≥0.17 毫米、网目数≥16 目的不锈钢丝网罩住伐桩，严防天牛逃逸。</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（3）枯死松木处理。使用油锯、砍刀等清理枯死树主干和枝桠，截成小于60厘米的木段，收</w:t>
      </w:r>
      <w:r>
        <w:rPr>
          <w:rFonts w:hint="eastAsia" w:ascii="宋体" w:hAnsi="宋体"/>
          <w:bCs/>
          <w:color w:val="auto"/>
          <w:sz w:val="24"/>
          <w:szCs w:val="24"/>
          <w:highlight w:val="none"/>
        </w:rPr>
        <w:t xml:space="preserve">集整理直径1厘米以上的枝桠和木段，选择（或裁剪成）合适的消杀袋（厚 度≥0.1 毫米（10 丝）），选择（或清理出）地势较平、地下没有尖锐物的区域作为堆放区，将消杀袋平铺放置，依次将木段、枝桠放入袋中。木段和枝桠装好后要仔细检查消杀袋密封性，发现有孔洞，要用胶带或其它粘合剂补好。使用粉碎机对松木进行粉碎，粉碎物粒径不 超过 1 厘米，少量疫木可采用焚烧处理，焚烧时要在焚烧炉内进行。松木粉碎、焚烧全环节摄像并存档备査，达到合格标准的粉碎物去向要登记备案。松木清理和粉碎必须做到日清日结，禁止将松木滞留在施工地。</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2、注干施药保护</w:t>
      </w:r>
      <w:r/>
    </w:p>
    <w:p>
      <w:pPr>
        <w:ind w:firstLine="480"/>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2025年12月</w:t>
      </w:r>
      <w:r>
        <w:rPr>
          <w:rFonts w:hint="eastAsia" w:ascii="宋体" w:hAnsi="宋体"/>
          <w:bCs/>
          <w:color w:val="auto"/>
          <w:sz w:val="24"/>
          <w:szCs w:val="24"/>
          <w:highlight w:val="none"/>
          <w:lang w:val="en-US" w:eastAsia="zh-CN"/>
        </w:rPr>
        <w:t xml:space="preserve">31</w:t>
      </w:r>
      <w:r>
        <w:rPr>
          <w:rFonts w:hint="eastAsia" w:ascii="宋体" w:hAnsi="宋体"/>
          <w:bCs/>
          <w:color w:val="auto"/>
          <w:sz w:val="24"/>
          <w:szCs w:val="24"/>
          <w:highlight w:val="none"/>
        </w:rPr>
        <w:t xml:space="preserve">日-2026年</w:t>
      </w:r>
      <w:r>
        <w:rPr>
          <w:rFonts w:hint="eastAsia" w:ascii="宋体" w:hAnsi="宋体"/>
          <w:bCs/>
          <w:color w:val="auto"/>
          <w:sz w:val="24"/>
          <w:szCs w:val="24"/>
          <w:highlight w:val="none"/>
          <w:lang w:val="en-US" w:eastAsia="zh-CN"/>
        </w:rPr>
        <w:t xml:space="preserve">04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日对采购方指定区域的健康松林，选用含量≥1%甲氨基阿维菌素苯甲酸盐进行注干施药保护，选用药剂要求三证齐全，总注射量为45000瓶。</w:t>
      </w:r>
      <w:r>
        <w:rPr>
          <w:rFonts w:hint="eastAsia" w:ascii="宋体" w:hAnsi="宋体"/>
          <w:b/>
          <w:color w:val="auto"/>
          <w:sz w:val="24"/>
          <w:szCs w:val="24"/>
          <w:highlight w:val="none"/>
        </w:rPr>
        <w:t xml:space="preserve">（中标后供应商应将药剂三证原件复印件加盖公章提供给采购人备案）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（1)主要采用打孔注药法。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所需设备为打孔注药机（电钻、锂电充电钻也可）、镰刀、斧头、注射器等工具，胸径≥10cm 且≤30cm 注射量为 50ml，胸径&gt;30cm 注射量为 100ml。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(2)钻孔部位：首次钻孔一般在松树根基距地面 50cm 左右的高度。需要钻2个及以上注 孔的，钻孔位置应均匀分布于树干周围，相互间隔，且不在一个水平面上。选择在表面 光滑、无死节、无受伤部位进行钻孔。如果树皮较厚，应用刀削掉老厚的外皮层后再进行钻孔。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(3)钻孔深度及孔径大小：根据药瓶瓶嘴的长度和大小确定钻孔深度和孔径大小。钻孔深度一般要求 ≤7.0cm，孔径 ≤0.7cm。</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(4)钻孔角度：用钻孔机沿松树干倾斜向下45左右方向钻孔。</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(5)药瓶回收：注药后完成药瓶回收，妥善处理回收药瓶；拨出空瓶，然后对注入孔处进行愈合剂等封口处理。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(6)施工记录：在注药的松树上，固定标签，标签上标明松树编号、用药种类、施工日期及施工单位，做好施工记录。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(7)人工安全要求：施工人员要佩戴防毒面罩、手套、安全帽等，对因防控措施不严引起的中毒等，由乙方完全负责。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(8)防火安全：按照操作规范进行操作，严禁上山的施工人员携带火种，对因不规范操作引起的森林火灾和安全事故，由乙方完全负责。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废弃物处理：打孔注药后包装、药瓶、生活垃圾等完工场清，按照相关规定处理。施工前，中标单位须提供所用农药由中华人民共和国农业部颁发的《农药登记证》，由药物生产厂家所在省质量技术监督部门颁发的《农药标准备案》及药物生产厂家由中华人民共和国国家质量监督检验检疫总局颁发的《农药生产许可证》（或中华人民共和国工业和信息化部颁发的《农药生产批准证书》的复印件）。</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3、松材线虫病日常监测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w:t>
      </w:r>
      <w:r>
        <w:rPr>
          <w:rFonts w:hint="eastAsia" w:ascii="宋体" w:hAnsi="宋体"/>
          <w:bCs/>
          <w:color w:val="auto"/>
          <w:sz w:val="24"/>
          <w:szCs w:val="24"/>
          <w:highlight w:val="none"/>
          <w:u w:val="single"/>
        </w:rPr>
        <w:t xml:space="preserve">松材线虫病防治技术方案</w:t>
      </w:r>
      <w:r>
        <w:rPr>
          <w:rFonts w:hint="eastAsia" w:ascii="宋体" w:hAnsi="宋体"/>
          <w:bCs/>
          <w:color w:val="auto"/>
          <w:sz w:val="24"/>
          <w:szCs w:val="24"/>
          <w:highlight w:val="none"/>
        </w:rPr>
        <w:t xml:space="preserve">》要求对项目区开展松林巡查监测10次，统计枯死木发生情况，月底上交动态监测报告，监测数据精确到小班。</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（1）松材线虫病秋季专项普查监测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根据《松材线虫病防治技术方案》的要求，对全区约 14900 亩松林运用无人机航空难遥感和地面巡查相结合的方式开展普查监测，统计松枯死木发生量，运用手机监测 App 和松材线虫病精细化监管平台进行数据采集和上报，11月30日前提交《赣榆区2025 年松材线虫病秋季普查报告》。</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4、松褐天牛诱捕监测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在采购方指定的松林小班，总计挂设15台松褐天牛诱捕器，挂设位置应 选择距离林缘50米以上通风良好的地点，记录挂设点坐标，挂设高度不低于2米，诱捕器距离树干1.5米以上。</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每月进行两次诱捕器调查，清理诱捕器堵塞物，回收诱捕到的天牛成虫，填写松褐天牛诱捕调查登记表，诱捕数据每月15日和30日上报采购方制定管理人员。</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1.报价要求：投标报价应为供应商完成本项目全部内容所需费用的含税价。</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伐除枯死松树处置过程中，涉及到采伐及农药等危险化学品的使用，风险等级比较高，应高度重视，做好如下措施。（1）制定采伐安全作业规则，做好防护措施、做好相关人员的培训、做好相关记录。（2）使用化学药品前，相关人员已培训到位，确保能正确使用、确保周围饮用水源、养蜂场、鱼虾养殖塘安全、确保作业人员自身安全。（3）未经批准严禁野</w:t>
      </w:r>
      <w:r>
        <w:rPr>
          <w:rFonts w:hint="eastAsia" w:ascii="宋体" w:hAnsi="宋体"/>
          <w:bCs/>
          <w:color w:val="auto"/>
          <w:sz w:val="24"/>
          <w:szCs w:val="24"/>
          <w:highlight w:val="none"/>
        </w:rPr>
        <w:t xml:space="preserve">外用火。（4）作业及管理人员应购置人身意外伤害保险。（5）设计应急预案，对突发事件，按照应急预案进行处置。3.现场踏勘 : (1)投标前，采购人不组织现场踏勘。为确保投标的准确性和措施的可行性，供应商可自行对工程现场及周围环境进行踏勘，以便供应商获取有关编制响应文件和签署合同所需的所有资料。采购人对供应商做出的推论、理解和结论概不负责。(2)供应商在现场勘察过程中，供应商应注意自身安全，如发生意外、财物或其他损失，不论任何原因所造成，采购人均不负责。(3)现场勘察期间的交通、食宿由供应商自行安排，费用自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三、付款方式：</w:t>
      </w:r>
      <w:r/>
    </w:p>
    <w:p>
      <w:pPr>
        <w:pStyle w:val="115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第一次付款：合同签订生效并具备实施条件后1个月内支付合同总金额的30%，用于购买防控药剂；</w:t>
      </w:r>
      <w:r/>
    </w:p>
    <w:p>
      <w:pPr>
        <w:pStyle w:val="115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第二次付款程序：成交单位服务结束并出具成果后，由采购人组织相关人员进行验收，采购人出具标明“验收合格”的《验收书》并核对无误后将剩余合同款支付给成交单位。</w:t>
      </w:r>
      <w:r/>
    </w:p>
    <w:p>
      <w:pPr>
        <w:ind w:firstLine="536"/>
        <w:keepNext/>
        <w:spacing w:before="74" w:line="360" w:lineRule="auto"/>
        <w:widowControl/>
        <w:rPr>
          <w:rFonts w:hint="eastAsia" w:ascii="宋体" w:hAnsi="宋体"/>
          <w:color w:val="auto"/>
          <w:spacing w:val="5"/>
          <w:sz w:val="24"/>
          <w:szCs w:val="24"/>
          <w:highlight w:val="none"/>
        </w:rPr>
      </w:pPr>
      <w:r>
        <w:rPr>
          <w:rFonts w:hint="eastAsia" w:ascii="宋体" w:hAnsi="宋体"/>
          <w:color w:val="auto"/>
          <w:sz w:val="24"/>
          <w:szCs w:val="24"/>
          <w:highlight w:val="none"/>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pStyle w:val="1151"/>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当采购数量与实际使用数量不一致时，乙方根据实际使用量提供产品和服务，合同的最终结算金额按实际使用量乘以成交单价进行计算。</w:t>
      </w:r>
      <w:r/>
    </w:p>
    <w:p>
      <w:pPr>
        <w:spacing w:before="9"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四、实施地点：</w:t>
      </w:r>
      <w:r>
        <w:rPr>
          <w:rFonts w:hint="eastAsia" w:ascii="宋体" w:hAnsi="宋体"/>
          <w:color w:val="auto"/>
          <w:sz w:val="24"/>
          <w:szCs w:val="24"/>
          <w:highlight w:val="none"/>
        </w:rPr>
        <w:t xml:space="preserve">采购人指定的地点</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五、合同价款</w:t>
      </w:r>
      <w:r/>
    </w:p>
    <w:p>
      <w:pPr>
        <w:pStyle w:val="868"/>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合同含税金额为（大写）：________________元（¥_______________元）人民币。本合同价款包含服务费、人员工资、人身保险、检测费、硬件软件使用费用、税费、培训费、利润等保障项目完成的所有费用。因成交单位自身原因造成漏报、少报皆由其自行承担责任，采购人不再补偿。</w:t>
      </w:r>
      <w:r/>
    </w:p>
    <w:p>
      <w:pPr>
        <w:ind w:firstLine="241"/>
        <w:rPr>
          <w:rFonts w:hint="eastAsia" w:ascii="宋体" w:hAnsi="宋体"/>
          <w:b/>
          <w:color w:val="auto"/>
          <w:sz w:val="24"/>
          <w:szCs w:val="24"/>
          <w:highlight w:val="none"/>
        </w:rPr>
      </w:pPr>
      <w:r>
        <w:rPr>
          <w:rFonts w:hint="eastAsia" w:ascii="宋体" w:hAnsi="宋体"/>
          <w:b/>
          <w:color w:val="auto"/>
          <w:sz w:val="24"/>
          <w:szCs w:val="24"/>
          <w:highlight w:val="none"/>
        </w:rPr>
        <w:t xml:space="preserve">上述款项一律支付至供应商的银行账户，开户信息：</w:t>
      </w:r>
      <w:r/>
    </w:p>
    <w:p>
      <w:pPr>
        <w:ind w:firstLine="354"/>
        <w:spacing w:before="120" w:after="120"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开户名：</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，开户行：</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，账号：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w:t>
      </w:r>
      <w:r/>
    </w:p>
    <w:p>
      <w:pPr>
        <w:ind w:firstLine="354"/>
        <w:spacing w:before="120" w:after="120" w:line="44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采购人一律不接受委托付款及现金支付的方式付款。</w:t>
      </w:r>
      <w:r/>
    </w:p>
    <w:p>
      <w:pPr>
        <w:numPr>
          <w:ilvl w:val="0"/>
          <w:numId w:val="10"/>
        </w:num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履约保证金：本项目不收取履约保证金。</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七、合同的变更、解除与终止</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1.合同期内，乙方如未经甲方允许擅自转包的，甲方有权终止合同。</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2.合同期内，乙方在经营过程中如出现未执行其投标承诺的情况，一经发现甲方有权终止合同。</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3.由于不可抗力原因而不能履行合同时，可延期执行本协议，或双方可协商决定解除合同。</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八、各方责任和义务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（一）甲方责任和义务：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1.甲方有权利监督乙方工作过程和验收乙方工作；</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2.甲方有义务按合同规定时间和数额支付给乙方相关费用；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3.服务的质量进行监督管理。</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（二）乙方责任和义务：</w:t>
      </w:r>
      <w:r/>
    </w:p>
    <w:p>
      <w:pPr>
        <w:pStyle w:val="1078"/>
        <w:ind w:firstLine="645"/>
        <w:jc w:val="both"/>
        <w:spacing w:before="0" w:beforeAutospacing="0" w:after="0" w:afterAutospacing="0" w:line="360" w:lineRule="auto"/>
        <w:widowControl w:val="off"/>
        <w:rPr>
          <w:rFonts w:hint="eastAsia"/>
          <w:color w:val="auto"/>
          <w:highlight w:val="none"/>
        </w:rPr>
      </w:pPr>
      <w:r>
        <w:rPr>
          <w:rFonts w:hint="eastAsia"/>
          <w:color w:val="auto"/>
          <w:highlight w:val="none"/>
        </w:rPr>
        <w:t xml:space="preserve">1．成交供应商应严格履行职责，并对承包内容承担相应责任。应承诺承担本项目下保密义务, 未经采购人许可不得将因本项目获得的信息向第三方外传。</w:t>
      </w:r>
      <w:r/>
    </w:p>
    <w:p>
      <w:pPr>
        <w:pStyle w:val="1078"/>
        <w:ind w:firstLine="645"/>
        <w:jc w:val="both"/>
        <w:spacing w:before="0" w:beforeAutospacing="0" w:after="0" w:afterAutospacing="0" w:line="360" w:lineRule="auto"/>
        <w:widowControl w:val="off"/>
        <w:rPr>
          <w:rFonts w:hint="eastAsia"/>
          <w:color w:val="auto"/>
          <w:highlight w:val="none"/>
        </w:rPr>
      </w:pPr>
      <w:r>
        <w:rPr>
          <w:rFonts w:hint="eastAsia"/>
          <w:color w:val="auto"/>
          <w:highlight w:val="none"/>
        </w:rPr>
        <w:t xml:space="preserve">2．本项目必须由成交供应商独立承担并完成，不允许以任何理由或名义进行转包和分包，如有发现，采购人有权单方终止合同，且成交供应商必须赔偿由此给采购人带来的一切损失。</w:t>
      </w:r>
      <w:r/>
    </w:p>
    <w:p>
      <w:pPr>
        <w:pStyle w:val="1109"/>
        <w:ind w:left="0" w:firstLine="720"/>
        <w:spacing w:line="360" w:lineRule="auto"/>
        <w:widowControl w:val="off"/>
        <w:rPr>
          <w:rFonts w:hint="eastAsia" w:ascii="宋体" w:hAnsi="宋体"/>
          <w:color w:val="auto"/>
          <w:highlight w:val="none"/>
        </w:rPr>
      </w:pPr>
      <w:r>
        <w:rPr>
          <w:rFonts w:hint="eastAsia" w:ascii="宋体" w:hAnsi="宋体"/>
          <w:color w:val="auto"/>
          <w:highlight w:val="none"/>
        </w:rPr>
        <w:t xml:space="preserve">3．充分考虑本项目的特点，成交供应商负责项目实施过程中人员安全保障。</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九、违约责任</w:t>
      </w:r>
      <w:r/>
    </w:p>
    <w:p>
      <w:pPr>
        <w:pStyle w:val="1078"/>
        <w:ind w:firstLine="645"/>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、甲方逾期支付合同款项的，每逾期 1  天应向乙方偿付欠款总额1‰的滞纳金，但滞纳金总额累计不得超过欠款总额的5％；一旦滞纳金总额累计达到欠款总额的5％，乙方有权解除合同。区财政因素除外。</w:t>
      </w:r>
      <w:r/>
    </w:p>
    <w:p>
      <w:pPr>
        <w:pStyle w:val="1078"/>
        <w:ind w:firstLine="645"/>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乙方无法完成项目的或违反本合同任一条款的约定的，应向甲方支付合同总价10％的违约金，同时甲方有权解除合同并赔偿由此造成的一切损失，该损失包括但不限于诉讼费、差旅费、误工费、鉴定费、评估费、律师代理费等为实现债权而支付的其他相关费用。</w:t>
      </w:r>
      <w:r/>
    </w:p>
    <w:p>
      <w:pPr>
        <w:pStyle w:val="1078"/>
        <w:ind w:firstLine="645"/>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、乙方逾期完成项目的，每逾期1天应向甲方偿付逾期交付合同总额1‰的滞纳金，但滞纳金累计不得超过逾期交付合同总额的5％；一旦滞纳金总额累计达到逾期交付合同总额的5％，甲方有权解除合同并</w:t>
      </w:r>
      <w:r>
        <w:rPr>
          <w:rFonts w:hint="eastAsia"/>
          <w:color w:val="auto"/>
          <w:highlight w:val="none"/>
          <w:lang w:val="en-US" w:eastAsia="zh-CN"/>
        </w:rPr>
        <w:t xml:space="preserve">且向甲方</w:t>
      </w:r>
      <w:r>
        <w:rPr>
          <w:rFonts w:hint="eastAsia"/>
          <w:color w:val="auto"/>
          <w:highlight w:val="none"/>
        </w:rPr>
        <w:t xml:space="preserve">赔偿由此造成的一切损失，该损失包括但不限于诉讼费、差旅费、误工费、鉴定费、评估费、律师代理费等为实现债权而支付的其他相关费用。逾期超过1个月，视乙方无法完成项目，项目自动终止，甲方停止支付剩余款项并按相关条款进行处理，剩余款项包括已经申请但并未支付款项。</w:t>
      </w:r>
      <w:r/>
    </w:p>
    <w:p>
      <w:pPr>
        <w:pStyle w:val="1078"/>
        <w:ind w:firstLine="645"/>
        <w:jc w:val="both"/>
        <w:spacing w:before="0" w:beforeAutospacing="0" w:after="0" w:afterAutospacing="0" w:line="360" w:lineRule="auto"/>
        <w:widowControl w:val="off"/>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、因为乙方延迟提供服务，甲方行使解除权的，自甲方向乙方发出解除或部分解除本合同的书面通知到达乙方时，本合同即告解除或部分解除。</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十、未尽事宜</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本合同未尽事宜由双方另行协商解决，商定的内容以补充协议形式确定，经双方签字盖章后与本合同具有同等效力。</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因履行本合同引起的或与本合同有关的争议，甲、乙双方应首先通过友好协商解决，如果协商不能解决争议，任何一方均可向连云港市赣榆人民法院提起诉讼。</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、本合同各条款相互制约，不可断章取义。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、本合同附件或补充协议为本合同不可分割的组成部分。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如果由于法律或法规的规定使得本合同或其附件的某一条款变得无效，而此无效对本合同的执行并无实质性的影响，则此等无效不得免除任何一方在本合同或其附件的其他规定下的义务，也不得剥夺任何一方依照其他条款所应享有的权利。</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、任何一方在执行本合同或其附件的任何条款时，或在行使与此有关的任何权利时的任何失败均不得被视为构成该方放弃执行该条款或其他条款或放弃行使该权利或其他权利。</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、《反商业贿赂协议》作为本合同的补充协议，与本合同具有同等法律效力。</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十一、合同效力</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本合同一式肆份，具有同等法律效力，甲方执贰份，乙方执贰份</w:t>
      </w:r>
      <w:r>
        <w:rPr>
          <w:rFonts w:hint="eastAsia" w:ascii="宋体" w:hAnsi="宋体"/>
          <w:color w:val="auto"/>
          <w:sz w:val="24"/>
          <w:szCs w:val="24"/>
          <w:highlight w:val="none"/>
        </w:rPr>
        <w:t xml:space="preserve">。</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十二、生效日期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本合同自</w:t>
      </w:r>
      <w:r>
        <w:rPr>
          <w:rFonts w:hint="eastAsia" w:ascii="宋体" w:hAnsi="宋体"/>
          <w:bCs/>
          <w:color w:val="auto"/>
          <w:sz w:val="24"/>
          <w:szCs w:val="24"/>
          <w:highlight w:val="none"/>
          <w:lang w:val="en-US" w:eastAsia="zh-CN"/>
        </w:rPr>
        <w:t xml:space="preserve">签字并盖章</w:t>
      </w:r>
      <w:r>
        <w:rPr>
          <w:rFonts w:hint="eastAsia" w:ascii="宋体" w:hAnsi="宋体"/>
          <w:bCs/>
          <w:color w:val="auto"/>
          <w:sz w:val="24"/>
          <w:szCs w:val="24"/>
          <w:highlight w:val="none"/>
        </w:rPr>
        <w:t xml:space="preserve">之日起生效。</w:t>
      </w:r>
      <w:r/>
    </w:p>
    <w:p>
      <w:pPr>
        <w:jc w:val="left"/>
        <w:spacing w:line="360" w:lineRule="auto"/>
        <w:rPr>
          <w:rFonts w:hint="eastAsia" w:ascii="宋体" w:hAnsi="宋体"/>
          <w:bCs/>
          <w:color w:val="auto"/>
          <w:sz w:val="24"/>
          <w:szCs w:val="24"/>
          <w:highlight w:val="none"/>
        </w:rPr>
      </w:pPr>
      <w:r>
        <w:rPr>
          <w:rFonts w:hint="eastAsia" w:ascii="宋体" w:hAnsi="宋体"/>
          <w:b/>
          <w:bCs/>
          <w:color w:val="auto"/>
          <w:sz w:val="24"/>
          <w:szCs w:val="24"/>
          <w:highlight w:val="none"/>
        </w:rPr>
        <w:t xml:space="preserve">十三、</w:t>
      </w:r>
      <w:r>
        <w:rPr>
          <w:rFonts w:hint="eastAsia" w:ascii="宋体" w:hAnsi="宋体"/>
          <w:bCs/>
          <w:color w:val="auto"/>
          <w:sz w:val="24"/>
          <w:szCs w:val="24"/>
          <w:highlight w:val="none"/>
        </w:rPr>
        <w:t xml:space="preserve">自政府采购合同签订之日起2个工作日内，将政府采购合同在指定的媒体上公告。</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left="63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甲方：                           乙方：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地址：                           地址：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法定代表人：                     法定代表人：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授权委托代理人：                 授权委托代理人：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电话：                           电话：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传真：                           传真：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邮政编码：                       邮政编码：                   </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开户银行：</w:t>
      </w:r>
      <w:r/>
    </w:p>
    <w:p>
      <w:pPr>
        <w:ind w:left="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账号：</w:t>
      </w:r>
      <w:r/>
    </w:p>
    <w:p>
      <w:pPr>
        <w:ind w:left="59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签订地点：                       签订日期：      年  月  日</w:t>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t xml:space="preserve"> </w:t>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t xml:space="preserve"> </w:t>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t xml:space="preserve"> </w:t>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r>
      <w:r/>
    </w:p>
    <w:p>
      <w:pP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t xml:space="preserve"> </w:t>
      </w:r>
      <w:r/>
    </w:p>
    <w:p>
      <w:pPr>
        <w:jc w:val="center"/>
        <w:spacing w:line="540" w:lineRule="exact"/>
        <w:rPr>
          <w:rFonts w:hint="eastAsia" w:ascii="宋体" w:hAnsi="宋体"/>
          <w:b/>
          <w:color w:val="auto"/>
          <w:sz w:val="32"/>
          <w:szCs w:val="32"/>
          <w:highlight w:val="none"/>
        </w:rPr>
        <w:outlineLvl w:val="3"/>
      </w:pPr>
      <w:r>
        <w:rPr>
          <w:rFonts w:hint="eastAsia" w:ascii="宋体" w:hAnsi="宋体"/>
          <w:b/>
          <w:color w:val="auto"/>
          <w:sz w:val="32"/>
          <w:szCs w:val="32"/>
          <w:highlight w:val="none"/>
        </w:rPr>
        <w:t xml:space="preserve"> 反 商 业 贿 赂 协 议</w:t>
      </w:r>
      <w:r/>
    </w:p>
    <w:p>
      <w:pPr>
        <w:ind w:firstLine="480"/>
        <w:jc w:val="center"/>
        <w:spacing w:line="520" w:lineRule="exact"/>
        <w:rPr>
          <w:rFonts w:hint="eastAsia" w:ascii="宋体" w:hAnsi="宋体"/>
          <w:bCs/>
          <w:color w:val="auto"/>
          <w:sz w:val="24"/>
          <w:szCs w:val="24"/>
          <w:highlight w:val="none"/>
        </w:rPr>
        <w:outlineLvl w:val="3"/>
      </w:pPr>
      <w:r>
        <w:rPr>
          <w:rFonts w:hint="eastAsia" w:ascii="宋体" w:hAnsi="宋体"/>
          <w:bCs/>
          <w:color w:val="auto"/>
          <w:sz w:val="24"/>
          <w:szCs w:val="24"/>
          <w:highlight w:val="none"/>
        </w:rPr>
        <w:t xml:space="preserve">协议编号：</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甲方： </w:t>
      </w:r>
      <w:r>
        <w:rPr>
          <w:rFonts w:hint="eastAsia" w:ascii="宋体" w:hAnsi="宋体"/>
          <w:b/>
          <w:bCs/>
          <w:color w:val="auto"/>
          <w:sz w:val="24"/>
          <w:szCs w:val="24"/>
          <w:highlight w:val="none"/>
        </w:rPr>
        <w:t xml:space="preserve">连云港市赣榆区自然资源和规划局</w:t>
      </w:r>
      <w:r/>
    </w:p>
    <w:p>
      <w:pPr>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 </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一、乙方不得进行以下商业贿赂行为：</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1.向甲方或者甲方代理人、代表、职员提供礼品、礼金、购物卡券、有价证券、好处费、感谢费等现金和实物。</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2.为甲方或者甲方代理人、代表、职员报销应由甲方或者个人承担的费用。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3.为甲方代理人、代表、职员提供可能影响公正执行业务活动的宴请、健身、娱乐、培训等高消费活动。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4.为甲方代理人、代表、职员装修住房、婚丧嫁娶、配偶子女的工作安排、出国（境）、旅游、借款、长期使用车辆等活动提供方便，或者提供给付财物以外的其他利益。</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5.接受甲方代理人、代表、职员的商业贿赂。</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6.法律法规规定的其他商业贿赂行为等。</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二、甲方致力于维护商业行为的诚信度，反对商业贿赂，乙方明确知道甲方代理人、代表、职员不得进行以下行为：</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1.向乙方索要或接受回扣、礼品、礼金、购物卡券、有价证券和好处费、感谢费等现金和实物。</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2.在乙方报销任何应由甲方或个人承担的费用。</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4.参加有可能影响公正执行业务活动的宴请、健身、娱乐、培训等高消费活动。</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5.向乙方介绍、推荐同甲方合作项目有关的设备采购、材料供应、工程分包、劳务等经济活动。</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6.甲方代理人、代表、职员的配偶、子女、其他亲属参与同甲方合作项目有关的经济活动。</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7、利用任何方式对提出意见和投诉的合作伙伴进行打击报复。</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8、私自利用职权或影响力使特定客户、供应商、经销商、施工单位等合作对象得到特殊待遇。</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三、乙方对于甲方代理人、代表、职员的商业贿赂及腐败行为负有及时如实呈报的义务。</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1.对于乙方实名呈报的甲方人员违反本协议约定的情形，甲方应对呈报人的资料严格保密，并对呈报事项及时进行调查，根据调查情况进行处理。</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2.呈报邮箱：可以直接向甲方纪检组进行投诉举报，并分别抄送甲方和甲方局长；或者直接向甲方局长投诉举报。</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四、违约责任</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2.甲方员工有本协议第二条约定的行为的，一经查实，甲方将根据内部管理规定给予严肃处理；涉嫌犯罪的，将依法提请司法机关追究刑事责任。</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五、其他</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1.本协议条款与甲、乙双方签署的其他合同、协议、意向书等内容不一致的，以本协议条款为准。</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2.本协议适用中华人民共和国法律。凡因本协议引起的或与本协议有关的一切争议，双方应友好协商解决，协商不成的，任何一方均可将争议提交连云港市赣榆区人民法院裁决。</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3.本协议一经双方订立即生效，至甲、乙双方业务合作终止之日失效。</w:t>
      </w:r>
      <w:r/>
    </w:p>
    <w:p>
      <w:pPr>
        <w:ind w:firstLine="480"/>
        <w:spacing w:line="5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4.本协议一式肆份，甲方执叁份，乙方执壹份。</w:t>
      </w:r>
      <w:r/>
    </w:p>
    <w:p>
      <w:pPr>
        <w:ind w:firstLine="480"/>
        <w:spacing w:line="540" w:lineRule="exact"/>
        <w:tabs>
          <w:tab w:val="left" w:pos="12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firstLine="480"/>
        <w:spacing w:line="540" w:lineRule="exact"/>
        <w:tabs>
          <w:tab w:val="left" w:pos="12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甲方（单位盖章）：                    乙方（单位盖章）：</w:t>
      </w:r>
      <w:r/>
    </w:p>
    <w:p>
      <w:pPr>
        <w:ind w:firstLine="480"/>
        <w:spacing w:line="540" w:lineRule="exact"/>
        <w:tabs>
          <w:tab w:val="left" w:pos="1200" w:leader="none"/>
        </w:tabs>
        <w:rPr>
          <w:rFonts w:hint="eastAsia"/>
          <w:color w:val="auto"/>
          <w:highlight w:val="none"/>
        </w:rPr>
      </w:pPr>
      <w:r>
        <w:rPr>
          <w:rFonts w:hint="eastAsia" w:ascii="宋体" w:hAnsi="宋体"/>
          <w:color w:val="auto"/>
          <w:sz w:val="24"/>
          <w:szCs w:val="24"/>
          <w:highlight w:val="none"/>
        </w:rPr>
        <w:t xml:space="preserve">代表人签字：                          代表人签字：</w:t>
      </w:r>
      <w:r/>
    </w:p>
    <w:p>
      <w:pPr>
        <w:ind w:firstLine="480"/>
        <w:spacing w:line="540" w:lineRule="exact"/>
        <w:tabs>
          <w:tab w:val="left" w:pos="120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p>
    <w:p>
      <w:pPr>
        <w:ind w:firstLine="480"/>
        <w:spacing w:line="540" w:lineRule="exact"/>
        <w:tabs>
          <w:tab w:val="left" w:pos="1200" w:leader="none"/>
        </w:tabs>
        <w:rPr>
          <w:rFonts w:hint="eastAsia"/>
          <w:color w:val="auto"/>
          <w:sz w:val="18"/>
          <w:szCs w:val="18"/>
          <w:highlight w:val="none"/>
        </w:rPr>
        <w:sectPr>
          <w:footnotePr/>
          <w:endnotePr/>
          <w:type w:val="nextPage"/>
          <w:pgSz w:w="12240" w:h="15840" w:orient="portrait"/>
          <w:pgMar w:top="1440" w:right="1800" w:bottom="1440" w:left="1800" w:header="720" w:footer="720" w:gutter="0"/>
          <w:cols w:num="1" w:sep="0" w:space="720" w:equalWidth="1"/>
          <w:docGrid w:linePitch="360"/>
        </w:sectPr>
      </w:pPr>
      <w:r>
        <w:rPr>
          <w:rFonts w:hint="eastAsia" w:ascii="宋体" w:hAnsi="宋体"/>
          <w:color w:val="auto"/>
          <w:sz w:val="24"/>
          <w:szCs w:val="24"/>
          <w:highlight w:val="none"/>
        </w:rPr>
        <w:t xml:space="preserve">                  年     月    日</w:t>
      </w:r>
      <w:r/>
    </w:p>
    <w:p>
      <w:pPr>
        <w:pStyle w:val="1058"/>
        <w:numPr>
          <w:ilvl w:val="0"/>
          <w:numId w:val="0"/>
        </w:numPr>
        <w:jc w:val="center"/>
        <w:keepLines w:val="0"/>
        <w:keepNext/>
        <w:pageBreakBefore w:val="0"/>
        <w:spacing w:line="360" w:lineRule="auto"/>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第四章 </w:t>
      </w:r>
      <w:r>
        <w:rPr>
          <w:rFonts w:hint="eastAsia" w:ascii="宋体" w:hAnsi="宋体" w:eastAsia="宋体" w:cs="宋体"/>
          <w:b/>
          <w:bCs/>
          <w:color w:val="auto"/>
          <w:sz w:val="44"/>
          <w:szCs w:val="44"/>
          <w:highlight w:val="none"/>
        </w:rPr>
        <w:t xml:space="preserve">项目需求</w:t>
      </w:r>
      <w:r/>
    </w:p>
    <w:p>
      <w:pPr>
        <w:keepLines w:val="0"/>
        <w:keepNext/>
        <w:pageBreakBefore w:val="0"/>
        <w:spacing w:line="360" w:lineRule="auto"/>
        <w:widowControl/>
        <w:rPr>
          <w:rFonts w:ascii="宋体" w:hAnsi="宋体" w:cs="Times New Roman"/>
          <w:color w:val="auto"/>
          <w:sz w:val="24"/>
          <w:szCs w:val="24"/>
          <w:highlight w:val="none"/>
        </w:rPr>
      </w:pPr>
      <w:r>
        <w:rPr>
          <w:rFonts w:hint="eastAsia" w:ascii="宋体" w:hAnsi="宋体" w:cs="Times New Roman"/>
          <w:b/>
          <w:color w:val="auto"/>
          <w:sz w:val="24"/>
          <w:highlight w:val="none"/>
        </w:rPr>
        <w:t xml:space="preserve">说明：</w:t>
      </w:r>
      <w:r>
        <w:rPr>
          <w:rFonts w:hint="eastAsia" w:ascii="宋体" w:hAnsi="宋体" w:cs="Times New Roman"/>
          <w:color w:val="auto"/>
          <w:sz w:val="24"/>
          <w:szCs w:val="24"/>
          <w:highlight w:val="none"/>
        </w:rPr>
        <w:t xml:space="preserve">本项目采购方式为</w:t>
      </w:r>
      <w:r>
        <w:rPr>
          <w:rFonts w:hint="eastAsia" w:ascii="宋体" w:hAnsi="宋体" w:cs="Times New Roman"/>
          <w:b/>
          <w:bCs/>
          <w:color w:val="auto"/>
          <w:sz w:val="24"/>
          <w:szCs w:val="24"/>
          <w:highlight w:val="none"/>
          <w:u w:val="single"/>
        </w:rPr>
        <w:t xml:space="preserve">竞争性磋商</w:t>
      </w:r>
      <w:r>
        <w:rPr>
          <w:rFonts w:hint="eastAsia" w:ascii="宋体" w:hAnsi="宋体" w:cs="Times New Roman"/>
          <w:color w:val="auto"/>
          <w:sz w:val="24"/>
          <w:szCs w:val="24"/>
          <w:highlight w:val="none"/>
        </w:rPr>
        <w:t xml:space="preserve">，项目属性为</w:t>
      </w:r>
      <w:r>
        <w:rPr>
          <w:rFonts w:hint="eastAsia" w:ascii="宋体" w:hAnsi="宋体" w:cs="Times New Roman"/>
          <w:b/>
          <w:bCs/>
          <w:color w:val="auto"/>
          <w:sz w:val="24"/>
          <w:szCs w:val="24"/>
          <w:highlight w:val="none"/>
          <w:u w:val="single"/>
        </w:rPr>
        <w:t xml:space="preserve">服务</w:t>
      </w:r>
      <w:r>
        <w:rPr>
          <w:rFonts w:hint="eastAsia" w:ascii="宋体" w:hAnsi="宋体" w:cs="Times New Roman"/>
          <w:color w:val="auto"/>
          <w:sz w:val="24"/>
          <w:szCs w:val="24"/>
          <w:highlight w:val="none"/>
        </w:rPr>
        <w:t xml:space="preserve">，采购标的对应的中小企业划分标准所属行业为</w:t>
      </w:r>
      <w:r>
        <w:rPr>
          <w:rFonts w:hint="eastAsia" w:ascii="Times New Roman" w:hAnsi="Times New Roman" w:cs="Times New Roman"/>
          <w:color w:val="auto"/>
          <w:sz w:val="24"/>
          <w:szCs w:val="24"/>
          <w:highlight w:val="none"/>
          <w:u w:val="single"/>
        </w:rPr>
        <w:t xml:space="preserve">　</w:t>
      </w:r>
      <w:r>
        <w:rPr>
          <w:rFonts w:hint="eastAsia" w:ascii="宋体" w:hAnsi="宋体"/>
          <w:b/>
          <w:color w:val="auto"/>
          <w:sz w:val="24"/>
          <w:szCs w:val="24"/>
          <w:highlight w:val="none"/>
          <w:u w:val="single"/>
          <w:shd w:val="clear" w:color="auto" w:fill="ffffff"/>
        </w:rPr>
        <w:t xml:space="preserve">其他未列明行业</w:t>
      </w:r>
      <w:r>
        <w:rPr>
          <w:rFonts w:hint="eastAsia" w:ascii="Times New Roman" w:hAnsi="Times New Roman"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w:t>
      </w:r>
      <w:r/>
    </w:p>
    <w:p>
      <w:pPr>
        <w:ind w:right="58" w:firstLine="480"/>
        <w:keepLines w:val="0"/>
        <w:keepNext/>
        <w:pageBreakBefore w:val="0"/>
        <w:spacing w:before="1"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pacing w:val="11"/>
          <w:sz w:val="24"/>
          <w:szCs w:val="24"/>
          <w:highlight w:val="none"/>
        </w:rPr>
        <w:t xml:space="preserve">本</w:t>
      </w:r>
      <w:r>
        <w:rPr>
          <w:rFonts w:hint="eastAsia" w:ascii="宋体" w:hAnsi="宋体" w:eastAsia="宋体" w:cs="宋体"/>
          <w:b/>
          <w:bCs/>
          <w:color w:val="auto"/>
          <w:spacing w:val="10"/>
          <w:sz w:val="24"/>
          <w:szCs w:val="24"/>
          <w:highlight w:val="none"/>
        </w:rPr>
        <w:t xml:space="preserve">项目需求中标注★号的部分为实质性要求和条件(由采购人根据实际情况设置) ，</w:t>
      </w:r>
      <w:r>
        <w:rPr>
          <w:rFonts w:hint="eastAsia" w:ascii="宋体" w:hAnsi="宋体" w:eastAsia="宋体" w:cs="宋体"/>
          <w:b/>
          <w:bCs/>
          <w:color w:val="auto"/>
          <w:spacing w:val="20"/>
          <w:sz w:val="24"/>
          <w:szCs w:val="24"/>
          <w:highlight w:val="none"/>
        </w:rPr>
        <w:t xml:space="preserve">供</w:t>
      </w:r>
      <w:r>
        <w:rPr>
          <w:rFonts w:hint="eastAsia" w:ascii="宋体" w:hAnsi="宋体" w:eastAsia="宋体" w:cs="宋体"/>
          <w:b/>
          <w:bCs/>
          <w:color w:val="auto"/>
          <w:spacing w:val="14"/>
          <w:sz w:val="24"/>
          <w:szCs w:val="24"/>
          <w:highlight w:val="none"/>
        </w:rPr>
        <w:t xml:space="preserve">应</w:t>
      </w:r>
      <w:r>
        <w:rPr>
          <w:rFonts w:hint="eastAsia" w:ascii="宋体" w:hAnsi="宋体" w:eastAsia="宋体" w:cs="宋体"/>
          <w:b/>
          <w:bCs/>
          <w:color w:val="auto"/>
          <w:spacing w:val="10"/>
          <w:sz w:val="24"/>
          <w:szCs w:val="24"/>
          <w:highlight w:val="none"/>
        </w:rPr>
        <w:t xml:space="preserve">商必须在响应文件中作出满足或者优于原要求和条件的响应，否则作无效响应处理。</w:t>
      </w:r>
      <w:r/>
    </w:p>
    <w:p>
      <w:pPr>
        <w:jc w:val="left"/>
        <w:keepLines w:val="0"/>
        <w:keepNext w:val="0"/>
        <w:pageBreakBefore w:val="0"/>
        <w:spacing w:line="360" w:lineRule="auto"/>
        <w:widowControl w:val="off"/>
        <w:rPr>
          <w:rFonts w:hint="eastAsia" w:ascii="宋体" w:hAnsi="宋体" w:eastAsia="宋体" w:cs="宋体"/>
          <w:color w:val="auto"/>
          <w:highlight w:val="none"/>
          <w:lang w:eastAsia="zh-CN"/>
        </w:rPr>
        <w:outlineLvl w:val="1"/>
      </w:pPr>
      <w:r>
        <w:rPr>
          <w:rFonts w:hint="eastAsia" w:ascii="宋体" w:hAnsi="宋体" w:eastAsia="宋体" w:cs="宋体"/>
          <w:b/>
          <w:bCs/>
          <w:color w:val="auto"/>
          <w:spacing w:val="7"/>
          <w:position w:val="2"/>
          <w:sz w:val="24"/>
          <w:szCs w:val="24"/>
          <w:highlight w:val="none"/>
        </w:rPr>
        <w:t xml:space="preserve">一、</w:t>
      </w:r>
      <w:r>
        <w:rPr>
          <w:rFonts w:hint="eastAsia" w:ascii="宋体" w:hAnsi="宋体" w:eastAsia="宋体" w:cs="宋体"/>
          <w:b/>
          <w:color w:val="auto"/>
          <w:sz w:val="24"/>
          <w:szCs w:val="24"/>
          <w:highlight w:val="none"/>
        </w:rPr>
        <w:t xml:space="preserve">项目背景</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u w:val="single"/>
        </w:rPr>
        <w:t xml:space="preserve">《松材线虫病防治技术方案（202</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年版）</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开展赣榆区全区1</w:t>
      </w:r>
      <w:r>
        <w:rPr>
          <w:rFonts w:hint="eastAsia" w:ascii="宋体" w:hAnsi="宋体" w:cs="宋体"/>
          <w:color w:val="auto"/>
          <w:sz w:val="24"/>
          <w:highlight w:val="none"/>
          <w:lang w:val="en-US" w:eastAsia="zh-CN"/>
        </w:rPr>
        <w:t xml:space="preserve">49</w:t>
      </w:r>
      <w:r>
        <w:rPr>
          <w:rFonts w:hint="eastAsia" w:ascii="宋体" w:hAnsi="宋体" w:eastAsia="宋体" w:cs="宋体"/>
          <w:color w:val="auto"/>
          <w:sz w:val="24"/>
          <w:highlight w:val="none"/>
        </w:rPr>
        <w:t xml:space="preserve">00亩松林的枯死木清理除治、松林监测、秋季普查、打孔注药</w:t>
      </w:r>
      <w:r>
        <w:rPr>
          <w:rFonts w:hint="eastAsia" w:ascii="宋体" w:hAnsi="宋体" w:cs="宋体"/>
          <w:color w:val="auto"/>
          <w:sz w:val="24"/>
          <w:highlight w:val="none"/>
          <w:lang w:eastAsia="zh-CN"/>
        </w:rPr>
        <w:t xml:space="preserve">、增挂诱捕器</w:t>
      </w:r>
      <w:r>
        <w:rPr>
          <w:rFonts w:hint="eastAsia" w:ascii="宋体" w:hAnsi="宋体" w:eastAsia="宋体" w:cs="宋体"/>
          <w:color w:val="auto"/>
          <w:sz w:val="24"/>
          <w:highlight w:val="none"/>
        </w:rPr>
        <w:t xml:space="preserve">等工作</w:t>
      </w:r>
      <w:r>
        <w:rPr>
          <w:rFonts w:hint="eastAsia" w:ascii="宋体" w:hAnsi="宋体" w:cs="宋体"/>
          <w:color w:val="auto"/>
          <w:sz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工作任务</w:t>
      </w:r>
      <w:r>
        <w:rPr>
          <w:rFonts w:hint="eastAsia" w:ascii="宋体" w:hAnsi="宋体" w:eastAsia="宋体" w:cs="宋体"/>
          <w:b/>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1、枯死树清理</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（1）对于新发生的</w:t>
      </w:r>
      <w:r>
        <w:rPr>
          <w:rFonts w:hint="eastAsia" w:ascii="宋体" w:hAnsi="宋体" w:cs="宋体"/>
          <w:b w:val="0"/>
          <w:bCs/>
          <w:color w:val="auto"/>
          <w:sz w:val="24"/>
          <w:szCs w:val="24"/>
          <w:highlight w:val="none"/>
          <w:lang w:eastAsia="zh-CN"/>
        </w:rPr>
        <w:t xml:space="preserve">枯</w:t>
      </w:r>
      <w:r>
        <w:rPr>
          <w:rFonts w:hint="eastAsia" w:ascii="宋体" w:hAnsi="宋体" w:eastAsia="宋体" w:cs="宋体"/>
          <w:b w:val="0"/>
          <w:bCs/>
          <w:color w:val="auto"/>
          <w:sz w:val="24"/>
          <w:szCs w:val="24"/>
          <w:highlight w:val="none"/>
        </w:rPr>
        <w:t xml:space="preserve">死</w:t>
      </w:r>
      <w:r>
        <w:rPr>
          <w:rFonts w:hint="eastAsia" w:ascii="宋体" w:hAnsi="宋体" w:cs="宋体"/>
          <w:b w:val="0"/>
          <w:bCs/>
          <w:color w:val="auto"/>
          <w:sz w:val="24"/>
          <w:szCs w:val="24"/>
          <w:highlight w:val="none"/>
          <w:lang w:eastAsia="zh-CN"/>
        </w:rPr>
        <w:t xml:space="preserve">松</w:t>
      </w:r>
      <w:r>
        <w:rPr>
          <w:rFonts w:hint="eastAsia" w:ascii="宋体" w:hAnsi="宋体" w:eastAsia="宋体" w:cs="宋体"/>
          <w:b w:val="0"/>
          <w:bCs/>
          <w:color w:val="auto"/>
          <w:sz w:val="24"/>
          <w:szCs w:val="24"/>
          <w:highlight w:val="none"/>
        </w:rPr>
        <w:t xml:space="preserve">树，采取随发现随除治。每株采伐的</w:t>
      </w:r>
      <w:r>
        <w:rPr>
          <w:rFonts w:hint="eastAsia" w:ascii="宋体" w:hAnsi="宋体" w:cs="宋体"/>
          <w:b w:val="0"/>
          <w:bCs/>
          <w:color w:val="auto"/>
          <w:sz w:val="24"/>
          <w:szCs w:val="24"/>
          <w:highlight w:val="none"/>
          <w:lang w:eastAsia="zh-CN"/>
        </w:rPr>
        <w:t xml:space="preserve">枯死松木</w:t>
      </w:r>
      <w:r>
        <w:rPr>
          <w:rFonts w:hint="eastAsia" w:ascii="宋体" w:hAnsi="宋体" w:eastAsia="宋体" w:cs="宋体"/>
          <w:b w:val="0"/>
          <w:bCs/>
          <w:color w:val="auto"/>
          <w:sz w:val="24"/>
          <w:szCs w:val="24"/>
          <w:highlight w:val="none"/>
        </w:rPr>
        <w:t xml:space="preserve">，要求使用管理软件记录照片上显示时间、天气、地点、海拔、经纬度等信息，并将伐桩位置、采伐处理方式、枯死树的胸径及地径、</w:t>
      </w:r>
      <w:r>
        <w:rPr>
          <w:rFonts w:hint="eastAsia" w:ascii="宋体" w:hAnsi="宋体" w:cs="宋体"/>
          <w:b w:val="0"/>
          <w:bCs/>
          <w:color w:val="auto"/>
          <w:sz w:val="24"/>
          <w:szCs w:val="24"/>
          <w:highlight w:val="none"/>
          <w:lang w:eastAsia="zh-CN"/>
        </w:rPr>
        <w:t xml:space="preserve">松</w:t>
      </w:r>
      <w:r>
        <w:rPr>
          <w:rFonts w:hint="eastAsia" w:ascii="宋体" w:hAnsi="宋体" w:eastAsia="宋体" w:cs="宋体"/>
          <w:b w:val="0"/>
          <w:bCs/>
          <w:color w:val="auto"/>
          <w:sz w:val="24"/>
          <w:szCs w:val="24"/>
          <w:highlight w:val="none"/>
        </w:rPr>
        <w:t xml:space="preserve">木的去向等 信息登记在册，以确保</w:t>
      </w:r>
      <w:r>
        <w:rPr>
          <w:rFonts w:hint="eastAsia" w:ascii="宋体" w:hAnsi="宋体" w:cs="宋体"/>
          <w:b w:val="0"/>
          <w:bCs/>
          <w:color w:val="auto"/>
          <w:sz w:val="24"/>
          <w:szCs w:val="24"/>
          <w:highlight w:val="none"/>
          <w:lang w:eastAsia="zh-CN"/>
        </w:rPr>
        <w:t xml:space="preserve">伐除松木</w:t>
      </w:r>
      <w:r>
        <w:rPr>
          <w:rFonts w:hint="eastAsia" w:ascii="宋体" w:hAnsi="宋体" w:eastAsia="宋体" w:cs="宋体"/>
          <w:b w:val="0"/>
          <w:bCs/>
          <w:color w:val="auto"/>
          <w:sz w:val="24"/>
          <w:szCs w:val="24"/>
          <w:highlight w:val="none"/>
        </w:rPr>
        <w:t xml:space="preserve">源头监管及施工数量的真实性。对</w:t>
      </w:r>
      <w:r>
        <w:rPr>
          <w:rFonts w:hint="eastAsia" w:ascii="宋体" w:hAnsi="宋体" w:cs="宋体"/>
          <w:b w:val="0"/>
          <w:bCs/>
          <w:color w:val="auto"/>
          <w:sz w:val="24"/>
          <w:szCs w:val="24"/>
          <w:highlight w:val="none"/>
          <w:lang w:eastAsia="zh-CN"/>
        </w:rPr>
        <w:t xml:space="preserve">枯死松树</w:t>
      </w:r>
      <w:r>
        <w:rPr>
          <w:rFonts w:hint="eastAsia" w:ascii="宋体" w:hAnsi="宋体" w:eastAsia="宋体" w:cs="宋体"/>
          <w:b w:val="0"/>
          <w:bCs/>
          <w:color w:val="auto"/>
          <w:sz w:val="24"/>
          <w:szCs w:val="24"/>
          <w:highlight w:val="none"/>
        </w:rPr>
        <w:t xml:space="preserve">进行及时定位、订牌、清理，对树干及大于 1cm 以上枝桠就地进行焚烧或粉碎， 编号牌在伐桩封闭后，钉在伐桩的横截面上（如果是刨除的伐桩可将编号牌钉在最近的树上），拍照存档。</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（2）伐桩处理。伐桩高度不得超过地面5厘米，应采用深挖找平、剥皮、防逸钢 丝网罩、回填覆土等 4 个步骤进行处理，采用防逸罩处理。深挖找平：对伐桩尽可能挖到土面以下，去掉表皮的腐殖质，并找平地面。剥皮：对裸露在地面以上的伐桩进行剥皮，并对上表面做平整处理。防逸罩密封。用钢丝直径≥0.17 毫米、网目数≥16 目的不锈钢丝网罩住伐桩，严防天牛逃逸。</w:t>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eastAsia="zh-CN"/>
        </w:rPr>
        <w:t xml:space="preserve">枯死松木</w:t>
      </w:r>
      <w:r>
        <w:rPr>
          <w:rFonts w:hint="eastAsia" w:ascii="宋体" w:hAnsi="宋体" w:eastAsia="宋体" w:cs="宋体"/>
          <w:b w:val="0"/>
          <w:bCs/>
          <w:color w:val="auto"/>
          <w:sz w:val="24"/>
          <w:szCs w:val="24"/>
          <w:highlight w:val="none"/>
        </w:rPr>
        <w:t xml:space="preserve">处理。使用油锯、砍刀等清理</w:t>
      </w:r>
      <w:r>
        <w:rPr>
          <w:rFonts w:hint="eastAsia" w:ascii="宋体" w:hAnsi="宋体" w:cs="宋体"/>
          <w:b w:val="0"/>
          <w:bCs/>
          <w:color w:val="auto"/>
          <w:sz w:val="24"/>
          <w:szCs w:val="24"/>
          <w:highlight w:val="none"/>
          <w:lang w:eastAsia="zh-CN"/>
        </w:rPr>
        <w:t xml:space="preserve">枯</w:t>
      </w:r>
      <w:r>
        <w:rPr>
          <w:rFonts w:hint="eastAsia" w:ascii="宋体" w:hAnsi="宋体" w:eastAsia="宋体" w:cs="宋体"/>
          <w:b w:val="0"/>
          <w:bCs/>
          <w:color w:val="auto"/>
          <w:sz w:val="24"/>
          <w:szCs w:val="24"/>
          <w:highlight w:val="none"/>
        </w:rPr>
        <w:t xml:space="preserve">死树主干和枝桠，截成小于60厘米的木段，收集整理直径1厘米以上的枝桠和木段，选择（或裁剪成）合适的消杀袋（厚 度≥0.1 毫米（10 丝）），选择（或清理出）地势较平、地下没有尖锐物的区域作为堆放区，将消杀袋平铺放置，依次将木段、枝桠放入袋中。木段和枝桠装好后要仔细检查消杀袋密封性，发现有孔洞，要用胶带或其它粘合剂补好。使用粉碎机对</w:t>
      </w:r>
      <w:r>
        <w:rPr>
          <w:rFonts w:hint="eastAsia" w:ascii="宋体" w:hAnsi="宋体" w:cs="宋体"/>
          <w:b w:val="0"/>
          <w:bCs/>
          <w:color w:val="auto"/>
          <w:sz w:val="24"/>
          <w:szCs w:val="24"/>
          <w:highlight w:val="none"/>
          <w:lang w:eastAsia="zh-CN"/>
        </w:rPr>
        <w:t xml:space="preserve">松</w:t>
      </w:r>
      <w:r>
        <w:rPr>
          <w:rFonts w:hint="eastAsia" w:ascii="宋体" w:hAnsi="宋体" w:eastAsia="宋体" w:cs="宋体"/>
          <w:b w:val="0"/>
          <w:bCs/>
          <w:color w:val="auto"/>
          <w:sz w:val="24"/>
          <w:szCs w:val="24"/>
          <w:highlight w:val="none"/>
        </w:rPr>
        <w:t xml:space="preserve">木进行粉碎，粉碎物粒径不 超过 1 厘米，少量疫木可采用焚烧处理，焚烧时要在焚烧炉内进行。</w:t>
      </w:r>
      <w:r>
        <w:rPr>
          <w:rFonts w:hint="eastAsia" w:ascii="宋体" w:hAnsi="宋体" w:cs="宋体"/>
          <w:b w:val="0"/>
          <w:bCs/>
          <w:color w:val="auto"/>
          <w:sz w:val="24"/>
          <w:szCs w:val="24"/>
          <w:highlight w:val="none"/>
          <w:lang w:eastAsia="zh-CN"/>
        </w:rPr>
        <w:t xml:space="preserve">松</w:t>
      </w:r>
      <w:r>
        <w:rPr>
          <w:rFonts w:hint="eastAsia" w:ascii="宋体" w:hAnsi="宋体" w:eastAsia="宋体" w:cs="宋体"/>
          <w:b w:val="0"/>
          <w:bCs/>
          <w:color w:val="auto"/>
          <w:sz w:val="24"/>
          <w:szCs w:val="24"/>
          <w:highlight w:val="none"/>
        </w:rPr>
        <w:t xml:space="preserve">木粉碎、焚烧全环节摄像并存档备査，达到合格标准的粉碎物去向要登记备案。</w:t>
      </w:r>
      <w:r>
        <w:rPr>
          <w:rFonts w:hint="eastAsia" w:ascii="宋体" w:hAnsi="宋体" w:cs="宋体"/>
          <w:b w:val="0"/>
          <w:bCs/>
          <w:color w:val="auto"/>
          <w:sz w:val="24"/>
          <w:szCs w:val="24"/>
          <w:highlight w:val="none"/>
          <w:lang w:eastAsia="zh-CN"/>
        </w:rPr>
        <w:t xml:space="preserve">松</w:t>
      </w:r>
      <w:r>
        <w:rPr>
          <w:rFonts w:hint="eastAsia" w:ascii="宋体" w:hAnsi="宋体" w:eastAsia="宋体" w:cs="宋体"/>
          <w:b w:val="0"/>
          <w:bCs/>
          <w:color w:val="auto"/>
          <w:sz w:val="24"/>
          <w:szCs w:val="24"/>
          <w:highlight w:val="none"/>
        </w:rPr>
        <w:t xml:space="preserve">木清理和粉碎必须做到日清日结，禁止将</w:t>
      </w:r>
      <w:r>
        <w:rPr>
          <w:rFonts w:hint="eastAsia" w:ascii="宋体" w:hAnsi="宋体" w:cs="宋体"/>
          <w:b w:val="0"/>
          <w:bCs/>
          <w:color w:val="auto"/>
          <w:sz w:val="24"/>
          <w:szCs w:val="24"/>
          <w:highlight w:val="none"/>
          <w:lang w:eastAsia="zh-CN"/>
        </w:rPr>
        <w:t xml:space="preserve">松</w:t>
      </w:r>
      <w:r>
        <w:rPr>
          <w:rFonts w:hint="eastAsia" w:ascii="宋体" w:hAnsi="宋体" w:eastAsia="宋体" w:cs="宋体"/>
          <w:b w:val="0"/>
          <w:bCs/>
          <w:color w:val="auto"/>
          <w:sz w:val="24"/>
          <w:szCs w:val="24"/>
          <w:highlight w:val="none"/>
        </w:rPr>
        <w:t xml:space="preserve">木滞留在施工地。</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2、注干施药保护</w:t>
      </w:r>
      <w:r/>
    </w:p>
    <w:p>
      <w:pPr>
        <w:ind w:firstLine="480"/>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202</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年12月</w:t>
      </w:r>
      <w:r>
        <w:rPr>
          <w:rFonts w:hint="eastAsia" w:ascii="宋体" w:hAnsi="宋体" w:cs="宋体"/>
          <w:b w:val="0"/>
          <w:bCs/>
          <w:color w:val="auto"/>
          <w:sz w:val="24"/>
          <w:szCs w:val="24"/>
          <w:highlight w:val="none"/>
          <w:lang w:val="en-US" w:eastAsia="zh-CN"/>
        </w:rPr>
        <w:t xml:space="preserve">31</w:t>
      </w:r>
      <w:r>
        <w:rPr>
          <w:rFonts w:hint="eastAsia" w:ascii="宋体" w:hAnsi="宋体" w:eastAsia="宋体" w:cs="宋体"/>
          <w:b w:val="0"/>
          <w:bCs/>
          <w:color w:val="auto"/>
          <w:sz w:val="24"/>
          <w:szCs w:val="24"/>
          <w:highlight w:val="none"/>
        </w:rPr>
        <w:t xml:space="preserve">日-202</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年</w:t>
      </w:r>
      <w:r>
        <w:rPr>
          <w:rFonts w:hint="eastAsia" w:ascii="宋体" w:hAnsi="宋体" w:cs="宋体"/>
          <w:b w:val="0"/>
          <w:bCs/>
          <w:color w:val="auto"/>
          <w:sz w:val="24"/>
          <w:szCs w:val="24"/>
          <w:highlight w:val="none"/>
          <w:lang w:val="en-US" w:eastAsia="zh-CN"/>
        </w:rPr>
        <w:t xml:space="preserve">04</w:t>
      </w:r>
      <w:r>
        <w:rPr>
          <w:rFonts w:hint="eastAsia" w:ascii="宋体" w:hAnsi="宋体" w:eastAsia="宋体" w:cs="宋体"/>
          <w:b w:val="0"/>
          <w:bCs/>
          <w:color w:val="auto"/>
          <w:sz w:val="24"/>
          <w:szCs w:val="24"/>
          <w:highlight w:val="none"/>
        </w:rPr>
        <w:t xml:space="preserve">月</w:t>
      </w:r>
      <w:r>
        <w:rPr>
          <w:rFonts w:hint="eastAsia" w:ascii="宋体" w:hAnsi="宋体" w:cs="宋体"/>
          <w:b w:val="0"/>
          <w:bCs/>
          <w:color w:val="auto"/>
          <w:sz w:val="24"/>
          <w:szCs w:val="24"/>
          <w:highlight w:val="none"/>
          <w:lang w:val="en-US" w:eastAsia="zh-CN"/>
        </w:rPr>
        <w:t xml:space="preserve">08</w:t>
      </w:r>
      <w:r>
        <w:rPr>
          <w:rFonts w:hint="eastAsia" w:ascii="宋体" w:hAnsi="宋体" w:eastAsia="宋体" w:cs="宋体"/>
          <w:b w:val="0"/>
          <w:bCs/>
          <w:color w:val="auto"/>
          <w:sz w:val="24"/>
          <w:szCs w:val="24"/>
          <w:highlight w:val="none"/>
        </w:rPr>
        <w:t xml:space="preserve">日对采购方指定区域的健康松林，选用含量≥1%甲氨基阿维菌素苯甲酸盐进行注干施药保护，选用药剂要求三证齐全，总注射量为4</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000瓶。</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中标后</w:t>
      </w:r>
      <w:r>
        <w:rPr>
          <w:rFonts w:hint="eastAsia" w:ascii="宋体" w:hAnsi="宋体" w:eastAsia="宋体" w:cs="宋体"/>
          <w:b/>
          <w:bCs w:val="0"/>
          <w:color w:val="auto"/>
          <w:sz w:val="24"/>
          <w:szCs w:val="24"/>
          <w:highlight w:val="none"/>
        </w:rPr>
        <w:t xml:space="preserve">供应商</w:t>
      </w:r>
      <w:r>
        <w:rPr>
          <w:rFonts w:hint="eastAsia" w:ascii="宋体" w:hAnsi="宋体" w:eastAsia="宋体" w:cs="宋体"/>
          <w:b/>
          <w:bCs w:val="0"/>
          <w:color w:val="auto"/>
          <w:sz w:val="24"/>
          <w:szCs w:val="24"/>
          <w:highlight w:val="none"/>
          <w:lang w:val="en-US" w:eastAsia="zh-CN"/>
        </w:rPr>
        <w:t xml:space="preserve">应将药剂三证原件复印件加盖公章提供给采购人备案</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（1)主要采用打孔注药法。</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所需设备为打孔注药机（电钻、锂电充电钻也可）、镰刀、斧头、注射器等工具，胸径≥10cm 且≤30cm 注射量为 50ml，胸径&gt;30cm 注射量为 100ml。</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(2)钻孔部位：首次钻孔一般在松树根基距地面 50cm 左右的高度。需要钻2个及以上注 孔的，钻孔位置应均匀分布于树干周围，相互间隔，且不在一个水平面上。选择在表面 光滑、无死节、无受伤部位进行钻孔。如果树皮较厚，应用刀削掉老厚的外皮层后再进行钻孔。</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(3)钻孔深度及孔径大小：根据药瓶瓶嘴的长度和大小确定钻孔深度和孔径大小。钻孔深度一般要求 ≤7.0cm，孔径 ≤0.7cm。</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(4)钻孔角度：用钻孔机沿松树干倾斜向下45左右方向钻孔。</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(5)药瓶回收：注药后完成药瓶回收，妥善处理回收药瓶；拨出空瓶，然后对注入孔处进行愈合剂等封口处理。</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(6)施工记录：在注药的松树上，固定标签，标签上标明松树编号、用药种类、施工日期及施工单位，做好施工记录。</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(7)人工安全要求：施工人员要佩戴防毒面罩、手套、安全帽等，对因防控措施不严引起的中毒等，由乙方完全负责。</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(8)防火安全：按照操作规范进行操作，严禁上山的施工人员携带火种，对因不规范操作引起的森林火灾和安全事故，由乙方完全负责。</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废弃物处理：打孔注药后包装、药瓶、生活垃圾等完工场清，按照相关规定处理。施工前，中标单位须提供所用农药由中华人民共和国农业部颁发的《农药登记证》，由药物生产厂家所在省质量技术监督部门颁发的《农药标准备案》及药物生产厂家由中华人民共和国国家质量监督检验检疫总局颁发的《农药生产许可证》（或中华人民共和国工业和信息化部颁发的《农药生产批准证书》的复印件）。</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3、松材线虫病日常监测</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rPr>
        <w:t xml:space="preserve">松材线虫病防治技术方案</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要求对项目区开展松林巡查监测</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次，统计枯死木发生情况，月底上交动态监测报告，监测数据精确到小班。</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（1）松材线虫病秋季专项普查监测</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根据《松材线虫病防治技术方案》的要求，对全区约 1</w:t>
      </w:r>
      <w:r>
        <w:rPr>
          <w:rFonts w:hint="eastAsia" w:ascii="宋体" w:hAnsi="宋体" w:cs="宋体"/>
          <w:b w:val="0"/>
          <w:bCs/>
          <w:color w:val="auto"/>
          <w:sz w:val="24"/>
          <w:szCs w:val="24"/>
          <w:highlight w:val="none"/>
          <w:lang w:val="en-US" w:eastAsia="zh-CN"/>
        </w:rPr>
        <w:t xml:space="preserve">49</w:t>
      </w:r>
      <w:r>
        <w:rPr>
          <w:rFonts w:hint="eastAsia" w:ascii="宋体" w:hAnsi="宋体" w:eastAsia="宋体" w:cs="宋体"/>
          <w:b w:val="0"/>
          <w:bCs/>
          <w:color w:val="auto"/>
          <w:sz w:val="24"/>
          <w:szCs w:val="24"/>
          <w:highlight w:val="none"/>
        </w:rPr>
        <w:t xml:space="preserve">00 亩松林运用无人机航空难遥感和地面巡查相结合的方式开展普查监测，统计松枯死木发生量，运用手机监测 App 和松材线虫病精细化监管平台进行数据采集和上报，11月30日前提交《赣榆区202</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 年松材线虫病秋季普查报告》。</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4、松褐天牛诱捕监测</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在采购方指定的</w:t>
      </w:r>
      <w:r>
        <w:rPr>
          <w:rFonts w:hint="eastAsia" w:ascii="宋体" w:hAnsi="宋体" w:cs="宋体"/>
          <w:b w:val="0"/>
          <w:bCs/>
          <w:color w:val="auto"/>
          <w:sz w:val="24"/>
          <w:szCs w:val="24"/>
          <w:highlight w:val="none"/>
          <w:lang w:eastAsia="zh-CN"/>
        </w:rPr>
        <w:t xml:space="preserve">松林</w:t>
      </w:r>
      <w:r>
        <w:rPr>
          <w:rFonts w:hint="eastAsia" w:ascii="宋体" w:hAnsi="宋体" w:eastAsia="宋体" w:cs="宋体"/>
          <w:b w:val="0"/>
          <w:bCs/>
          <w:color w:val="auto"/>
          <w:sz w:val="24"/>
          <w:szCs w:val="24"/>
          <w:highlight w:val="none"/>
        </w:rPr>
        <w:t xml:space="preserve">小班，总计挂设1</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台松褐天牛诱捕器，挂设位置应 选择距离林缘50米以上通风良好的地点，记录挂设点坐标，挂设高度不低于2米，诱捕器距离树干1.5米以上。</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每月进行两次诱捕器调查，清理诱捕器堵塞物，回收诱捕到的天牛成虫，填写松褐天牛诱捕调查登记表，诱捕数据每月</w:t>
      </w:r>
      <w:r>
        <w:rPr>
          <w:rFonts w:hint="eastAsia" w:ascii="宋体" w:hAnsi="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日和30日上报采购方制定管理人员。</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5、其他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1.报价要求：投标报价应为供应商完成本项目全部内容所需费用的含税价。</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cs="宋体"/>
          <w:b w:val="0"/>
          <w:bCs/>
          <w:color w:val="auto"/>
          <w:sz w:val="24"/>
          <w:szCs w:val="24"/>
          <w:highlight w:val="none"/>
          <w:lang w:eastAsia="zh-CN"/>
        </w:rPr>
        <w:t xml:space="preserve">伐除枯死松树</w:t>
      </w:r>
      <w:r>
        <w:rPr>
          <w:rFonts w:hint="eastAsia" w:ascii="宋体" w:hAnsi="宋体" w:eastAsia="宋体" w:cs="宋体"/>
          <w:b w:val="0"/>
          <w:bCs/>
          <w:color w:val="auto"/>
          <w:sz w:val="24"/>
          <w:szCs w:val="24"/>
          <w:highlight w:val="none"/>
        </w:rPr>
        <w:t xml:space="preserve">处置过程中，涉及到采伐及农药等危险化学品的使用，风险等级比较高，应高度重视，做好如下措施</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制定采伐安全作业规则，做好防护措施、做好相关人员的培训、做好相关记录。（2）使用化学药品前，相关人员已培训到位，确保能正确使用、确保周围饮用水源、养蜂场、鱼虾养殖塘安全、确保作业人员自身安全。（3）未经批准严禁野</w:t>
      </w:r>
      <w:r>
        <w:rPr>
          <w:rFonts w:hint="eastAsia" w:ascii="宋体" w:hAnsi="宋体" w:eastAsia="宋体" w:cs="宋体"/>
          <w:b w:val="0"/>
          <w:bCs/>
          <w:color w:val="auto"/>
          <w:sz w:val="24"/>
          <w:szCs w:val="24"/>
          <w:highlight w:val="none"/>
        </w:rPr>
        <w:t xml:space="preserve">外用火。（4）作业及管理人员应购置人身意外伤害保险。（5）设计应急预案，对突发事件，按照应急预案进行处置。3.现场踏勘 : (1)投标前，采购人不组织现场踏勘。为确保投标的准确性和措施的可行性，供应商可自行对工程现场及周围环境进行踏勘，以便供应商获取有关编制响应文件和签署合同所需的所有资料。采购人对供应商做出的推论、理解和结论概不负责。(2)供应商在现场勘察过程中，供应商应注意自身安全，如发生意外、财物或其他损失，不论任何原因所造成，采购人均不负责。(3)现场勘察期间的交通、食宿由供应商自行安排，费用自理。</w:t>
      </w:r>
      <w:r/>
    </w:p>
    <w:p>
      <w:pPr>
        <w:numPr>
          <w:ilvl w:val="0"/>
          <w:numId w:val="0"/>
        </w:numPr>
        <w:ind w:right="0"/>
        <w:keepLines w:val="0"/>
        <w:keepNext w:val="0"/>
        <w:pageBreakBefore w:val="0"/>
        <w:spacing w:line="360" w:lineRule="auto"/>
        <w:widowControl w:val="off"/>
        <w:tabs>
          <w:tab w:val="left" w:pos="904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、防治效果评价标准：</w:t>
      </w:r>
      <w:r>
        <w:rPr>
          <w:rFonts w:hint="eastAsia" w:ascii="宋体" w:hAnsi="宋体" w:eastAsia="宋体" w:cs="宋体"/>
          <w:b w:val="0"/>
          <w:bCs/>
          <w:color w:val="auto"/>
          <w:sz w:val="24"/>
          <w:szCs w:val="24"/>
          <w:highlight w:val="none"/>
        </w:rPr>
        <w:t xml:space="preserve">合格，项目区松材线虫病监测覆盖率100%、注干施药保护率100%</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枯死树伐除率100%和</w:t>
      </w:r>
      <w:r>
        <w:rPr>
          <w:rFonts w:hint="eastAsia" w:ascii="宋体" w:hAnsi="宋体" w:cs="宋体"/>
          <w:b w:val="0"/>
          <w:bCs/>
          <w:color w:val="auto"/>
          <w:sz w:val="24"/>
          <w:szCs w:val="24"/>
          <w:highlight w:val="none"/>
          <w:lang w:eastAsia="zh-CN"/>
        </w:rPr>
        <w:t xml:space="preserve">伐除松木</w:t>
      </w:r>
      <w:r>
        <w:rPr>
          <w:rFonts w:hint="eastAsia" w:ascii="宋体" w:hAnsi="宋体" w:eastAsia="宋体" w:cs="宋体"/>
          <w:b w:val="0"/>
          <w:bCs/>
          <w:color w:val="auto"/>
          <w:sz w:val="24"/>
          <w:szCs w:val="24"/>
          <w:highlight w:val="none"/>
        </w:rPr>
        <w:t xml:space="preserve">除害处理合格率100%，伐桩高度不超过5厘米、伐桩处理率100%，</w:t>
      </w:r>
      <w:r>
        <w:rPr>
          <w:rFonts w:hint="eastAsia" w:ascii="宋体" w:hAnsi="宋体" w:cs="宋体"/>
          <w:b w:val="0"/>
          <w:bCs/>
          <w:color w:val="auto"/>
          <w:sz w:val="24"/>
          <w:szCs w:val="24"/>
          <w:highlight w:val="none"/>
          <w:lang w:eastAsia="zh-CN"/>
        </w:rPr>
        <w:t xml:space="preserve">枯</w:t>
      </w:r>
      <w:r>
        <w:rPr>
          <w:rFonts w:hint="eastAsia" w:ascii="宋体" w:hAnsi="宋体" w:eastAsia="宋体" w:cs="宋体"/>
          <w:b w:val="0"/>
          <w:bCs/>
          <w:color w:val="auto"/>
          <w:sz w:val="24"/>
          <w:szCs w:val="24"/>
          <w:highlight w:val="none"/>
        </w:rPr>
        <w:t xml:space="preserve">死树主干和直径1厘米以上的枝桠除害率100%，项目验收时项目区无</w:t>
      </w:r>
      <w:r>
        <w:rPr>
          <w:rFonts w:hint="eastAsia" w:ascii="宋体" w:hAnsi="宋体" w:cs="宋体"/>
          <w:b w:val="0"/>
          <w:bCs/>
          <w:color w:val="auto"/>
          <w:sz w:val="24"/>
          <w:szCs w:val="24"/>
          <w:highlight w:val="none"/>
          <w:lang w:eastAsia="zh-CN"/>
        </w:rPr>
        <w:t xml:space="preserve">枯</w:t>
      </w:r>
      <w:r>
        <w:rPr>
          <w:rFonts w:hint="eastAsia" w:ascii="宋体" w:hAnsi="宋体" w:eastAsia="宋体" w:cs="宋体"/>
          <w:b w:val="0"/>
          <w:bCs/>
          <w:color w:val="auto"/>
          <w:sz w:val="24"/>
          <w:szCs w:val="24"/>
          <w:highlight w:val="none"/>
        </w:rPr>
        <w:t xml:space="preserve">死树。</w:t>
      </w:r>
      <w:r/>
    </w:p>
    <w:p>
      <w:pPr>
        <w:numPr>
          <w:ilvl w:val="0"/>
          <w:numId w:val="0"/>
        </w:numPr>
        <w:ind w:right="0"/>
        <w:keepLines w:val="0"/>
        <w:keepNext w:val="0"/>
        <w:pageBreakBefore w:val="0"/>
        <w:spacing w:line="240" w:lineRule="auto"/>
        <w:widowControl w:val="off"/>
        <w:tabs>
          <w:tab w:val="left" w:pos="90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分项预算见下表。</w:t>
      </w:r>
      <w:r/>
    </w:p>
    <w:p>
      <w:pPr>
        <w:pStyle w:val="843"/>
        <w:jc w:val="center"/>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分项预算表</w:t>
      </w:r>
      <w:r/>
    </w:p>
    <w:tbl>
      <w:tblPr>
        <w:tblStyle w:val="1152"/>
        <w:tblpPr w:horzAnchor="page" w:tblpX="1648" w:vertAnchor="text" w:tblpY="313" w:leftFromText="180" w:topFromText="0" w:rightFromText="180" w:bottomFromText="0"/>
        <w:tblW w:w="94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79"/>
        <w:gridCol w:w="1251"/>
        <w:gridCol w:w="2040"/>
        <w:gridCol w:w="2690"/>
      </w:tblGrid>
      <w:tr>
        <w:trPr>
          <w:trHeight w:val="706"/>
        </w:trPr>
        <w:tc>
          <w:tcPr>
            <w:tcW w:w="3479" w:type="dxa"/>
            <w:vAlign w:val="top"/>
            <w:textDirection w:val="lrTb"/>
            <w:noWrap w:val="false"/>
          </w:tcPr>
          <w:p>
            <w:pPr>
              <w:pStyle w:val="1132"/>
              <w:ind w:left="1267"/>
              <w:jc w:val="both"/>
              <w:spacing w:before="183" w:line="188" w:lineRule="auto"/>
              <w:rPr>
                <w:rFonts w:hint="eastAsia" w:ascii="宋体" w:hAnsi="宋体" w:eastAsia="宋体" w:cs="宋体"/>
                <w:color w:val="auto"/>
                <w:highlight w:val="none"/>
              </w:rPr>
            </w:pPr>
            <w:r>
              <w:rPr>
                <w:rFonts w:hint="eastAsia" w:ascii="宋体" w:hAnsi="宋体" w:eastAsia="宋体" w:cs="宋体"/>
                <w:color w:val="auto"/>
                <w:spacing w:val="-3"/>
                <w:highlight w:val="none"/>
              </w:rPr>
              <w:t xml:space="preserve">采购内容</w:t>
            </w:r>
            <w:r/>
          </w:p>
        </w:tc>
        <w:tc>
          <w:tcPr>
            <w:tcW w:w="1251" w:type="dxa"/>
            <w:vAlign w:val="top"/>
            <w:textDirection w:val="lrTb"/>
            <w:noWrap w:val="false"/>
          </w:tcPr>
          <w:p>
            <w:pPr>
              <w:ind w:left="280"/>
              <w:spacing w:before="191" w:line="177"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工程量</w:t>
            </w:r>
            <w:r/>
          </w:p>
        </w:tc>
        <w:tc>
          <w:tcPr>
            <w:tcW w:w="2040" w:type="dxa"/>
            <w:vAlign w:val="top"/>
            <w:textDirection w:val="lrTb"/>
            <w:noWrap w:val="false"/>
          </w:tcPr>
          <w:p>
            <w:pPr>
              <w:pStyle w:val="1132"/>
              <w:ind w:left="351"/>
              <w:spacing w:before="179" w:line="18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预算单价（元）</w:t>
            </w:r>
            <w:r/>
          </w:p>
        </w:tc>
        <w:tc>
          <w:tcPr>
            <w:tcW w:w="2690" w:type="dxa"/>
            <w:vAlign w:val="top"/>
            <w:textDirection w:val="lrTb"/>
            <w:noWrap w:val="false"/>
          </w:tcPr>
          <w:p>
            <w:pPr>
              <w:pStyle w:val="1132"/>
              <w:jc w:val="center"/>
              <w:spacing w:before="184" w:line="187" w:lineRule="auto"/>
              <w:rPr>
                <w:rFonts w:hint="eastAsia" w:ascii="宋体" w:hAnsi="宋体" w:eastAsia="宋体" w:cs="宋体"/>
                <w:color w:val="auto"/>
                <w:sz w:val="24"/>
                <w:szCs w:val="24"/>
                <w:highlight w:val="none"/>
              </w:rPr>
            </w:pPr>
            <w:r>
              <w:rPr>
                <w:rFonts w:hint="eastAsia" w:ascii="宋体" w:hAnsi="宋体" w:eastAsia="宋体" w:cs="宋体"/>
                <w:color w:val="auto"/>
                <w:spacing w:val="-2"/>
                <w:highlight w:val="none"/>
              </w:rPr>
              <w:t xml:space="preserve">分项预算金额</w:t>
            </w:r>
            <w:r>
              <w:rPr>
                <w:rFonts w:hint="eastAsia" w:ascii="宋体" w:hAnsi="宋体" w:eastAsia="宋体" w:cs="宋体"/>
                <w:color w:val="auto"/>
                <w:spacing w:val="-16"/>
                <w:sz w:val="24"/>
                <w:szCs w:val="24"/>
                <w:highlight w:val="none"/>
              </w:rPr>
              <w:t xml:space="preserve">（元）</w:t>
            </w:r>
            <w:r/>
          </w:p>
        </w:tc>
      </w:tr>
      <w:tr>
        <w:trPr>
          <w:trHeight w:val="576"/>
        </w:trPr>
        <w:tc>
          <w:tcPr>
            <w:tcW w:w="3479" w:type="dxa"/>
            <w:vAlign w:val="top"/>
            <w:textDirection w:val="lrTb"/>
            <w:noWrap w:val="false"/>
          </w:tcPr>
          <w:p>
            <w:pPr>
              <w:pStyle w:val="1132"/>
              <w:jc w:val="center"/>
              <w:spacing w:before="168"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松枯死木清理</w:t>
            </w:r>
            <w:r/>
          </w:p>
        </w:tc>
        <w:tc>
          <w:tcPr>
            <w:tcW w:w="1251"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14900亩</w:t>
            </w:r>
            <w:r/>
          </w:p>
        </w:tc>
        <w:tc>
          <w:tcPr>
            <w:tcW w:w="20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color w:val="auto"/>
                <w:highlight w:val="none"/>
                <w:lang w:val="en-US" w:eastAsia="zh-CN"/>
              </w:rPr>
              <w:t xml:space="preserve">24.2元/亩</w:t>
            </w:r>
            <w:r/>
          </w:p>
        </w:tc>
        <w:tc>
          <w:tcPr>
            <w:tcW w:w="269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color w:val="auto"/>
                <w:highlight w:val="none"/>
                <w:lang w:val="en-US" w:eastAsia="zh-CN"/>
              </w:rPr>
              <w:t xml:space="preserve">360580</w:t>
            </w:r>
            <w:r/>
          </w:p>
        </w:tc>
      </w:tr>
      <w:tr>
        <w:trPr>
          <w:trHeight w:val="576"/>
        </w:trPr>
        <w:tc>
          <w:tcPr>
            <w:tcW w:w="3479" w:type="dxa"/>
            <w:vAlign w:val="top"/>
            <w:textDirection w:val="lrTb"/>
            <w:noWrap w:val="false"/>
          </w:tcPr>
          <w:p>
            <w:pPr>
              <w:pStyle w:val="1132"/>
              <w:ind w:left="1027"/>
              <w:jc w:val="both"/>
              <w:spacing w:before="167"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注干施药保护</w:t>
            </w:r>
            <w:r/>
          </w:p>
        </w:tc>
        <w:tc>
          <w:tcPr>
            <w:tcW w:w="1251"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45000瓶</w:t>
            </w:r>
            <w:r/>
          </w:p>
        </w:tc>
        <w:tc>
          <w:tcPr>
            <w:tcW w:w="2040"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rPr>
              <w:t xml:space="preserve">15元</w:t>
            </w:r>
            <w:r/>
          </w:p>
        </w:tc>
        <w:tc>
          <w:tcPr>
            <w:tcW w:w="2690"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675000</w:t>
            </w:r>
            <w:r/>
          </w:p>
        </w:tc>
      </w:tr>
      <w:tr>
        <w:trPr>
          <w:trHeight w:val="576"/>
        </w:trPr>
        <w:tc>
          <w:tcPr>
            <w:tcW w:w="3479" w:type="dxa"/>
            <w:vAlign w:val="top"/>
            <w:textDirection w:val="lrTb"/>
            <w:noWrap w:val="false"/>
          </w:tcPr>
          <w:p>
            <w:pPr>
              <w:pStyle w:val="1132"/>
              <w:ind w:left="668"/>
              <w:jc w:val="both"/>
              <w:spacing w:before="169"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松材线虫病日常监测</w:t>
            </w:r>
            <w:r/>
          </w:p>
        </w:tc>
        <w:tc>
          <w:tcPr>
            <w:tcW w:w="1251"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10次</w:t>
            </w:r>
            <w:r/>
          </w:p>
        </w:tc>
        <w:tc>
          <w:tcPr>
            <w:tcW w:w="204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color w:val="auto"/>
                <w:highlight w:val="none"/>
                <w:lang w:val="en-US" w:eastAsia="zh-CN"/>
              </w:rPr>
              <w:t xml:space="preserve">1999.5元</w:t>
            </w:r>
            <w:r/>
          </w:p>
        </w:tc>
        <w:tc>
          <w:tcPr>
            <w:tcW w:w="2690" w:type="dxa"/>
            <w:vAlign w:val="center"/>
            <w:textDirection w:val="lrTb"/>
            <w:noWrap w:val="false"/>
          </w:tcPr>
          <w:p>
            <w:pPr>
              <w:jc w:val="center"/>
              <w:rPr>
                <w:rFonts w:hint="default" w:ascii="宋体" w:hAnsi="宋体" w:eastAsia="宋体" w:cs="宋体"/>
                <w:color w:val="auto"/>
                <w:highlight w:val="none"/>
                <w:lang w:val="en-US"/>
              </w:rPr>
            </w:pPr>
            <w:r>
              <w:rPr>
                <w:rFonts w:hint="eastAsia"/>
                <w:color w:val="auto"/>
                <w:highlight w:val="none"/>
                <w:lang w:val="en-US" w:eastAsia="zh-CN"/>
              </w:rPr>
              <w:t xml:space="preserve">19995</w:t>
            </w:r>
            <w:r/>
          </w:p>
        </w:tc>
      </w:tr>
      <w:tr>
        <w:trPr>
          <w:trHeight w:val="576"/>
        </w:trPr>
        <w:tc>
          <w:tcPr>
            <w:tcW w:w="3479" w:type="dxa"/>
            <w:vAlign w:val="top"/>
            <w:textDirection w:val="lrTb"/>
            <w:noWrap w:val="false"/>
          </w:tcPr>
          <w:p>
            <w:pPr>
              <w:pStyle w:val="1132"/>
              <w:ind w:left="188"/>
              <w:spacing w:before="169" w:line="219"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松材线虫病秋季专项普查监测</w:t>
            </w:r>
            <w:r/>
          </w:p>
        </w:tc>
        <w:tc>
          <w:tcPr>
            <w:tcW w:w="1251"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14900亩</w:t>
            </w:r>
            <w:r/>
          </w:p>
        </w:tc>
        <w:tc>
          <w:tcPr>
            <w:tcW w:w="2040"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rPr>
              <w:t xml:space="preserve">5元</w:t>
            </w:r>
            <w:r>
              <w:rPr>
                <w:rFonts w:hint="eastAsia"/>
                <w:color w:val="auto"/>
                <w:highlight w:val="none"/>
                <w:lang w:val="en-US" w:eastAsia="zh-CN"/>
              </w:rPr>
              <w:t xml:space="preserve">/亩</w:t>
            </w:r>
            <w:r/>
          </w:p>
        </w:tc>
        <w:tc>
          <w:tcPr>
            <w:tcW w:w="2690"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74500</w:t>
            </w:r>
            <w:r/>
          </w:p>
        </w:tc>
      </w:tr>
      <w:tr>
        <w:trPr>
          <w:trHeight w:val="581"/>
        </w:trPr>
        <w:tc>
          <w:tcPr>
            <w:tcW w:w="3479" w:type="dxa"/>
            <w:vAlign w:val="top"/>
            <w:textDirection w:val="lrTb"/>
            <w:noWrap w:val="false"/>
          </w:tcPr>
          <w:p>
            <w:pPr>
              <w:pStyle w:val="1132"/>
              <w:ind w:left="788"/>
              <w:jc w:val="both"/>
              <w:spacing w:before="172"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松褐天牛诱捕监测</w:t>
            </w:r>
            <w:r/>
          </w:p>
        </w:tc>
        <w:tc>
          <w:tcPr>
            <w:tcW w:w="1251"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15个</w:t>
            </w:r>
            <w:r/>
          </w:p>
        </w:tc>
        <w:tc>
          <w:tcPr>
            <w:tcW w:w="2040" w:type="dxa"/>
            <w:vAlign w:val="center"/>
            <w:textDirection w:val="lrTb"/>
            <w:noWrap w:val="false"/>
          </w:tcPr>
          <w:p>
            <w:pPr>
              <w:jc w:val="center"/>
              <w:rPr>
                <w:rFonts w:hint="eastAsia" w:ascii="宋体" w:hAnsi="宋体" w:eastAsia="宋体" w:cs="宋体"/>
                <w:color w:val="auto"/>
                <w:highlight w:val="none"/>
              </w:rPr>
            </w:pPr>
            <w:r>
              <w:rPr>
                <w:rFonts w:hint="eastAsia"/>
                <w:color w:val="auto"/>
                <w:highlight w:val="none"/>
                <w:lang w:val="en-US" w:eastAsia="zh-CN"/>
              </w:rPr>
              <w:t xml:space="preserve">995</w:t>
            </w:r>
            <w:r>
              <w:rPr>
                <w:rFonts w:hint="eastAsia"/>
                <w:color w:val="auto"/>
                <w:highlight w:val="none"/>
              </w:rPr>
              <w:t xml:space="preserve">元</w:t>
            </w:r>
            <w:r/>
          </w:p>
        </w:tc>
        <w:tc>
          <w:tcPr>
            <w:tcW w:w="2690" w:type="dxa"/>
            <w:vAlign w:val="center"/>
            <w:textDirection w:val="lrTb"/>
            <w:noWrap w:val="false"/>
          </w:tcPr>
          <w:p>
            <w:pPr>
              <w:jc w:val="center"/>
              <w:rPr>
                <w:rFonts w:hint="default" w:ascii="宋体" w:hAnsi="宋体" w:eastAsia="宋体" w:cs="宋体"/>
                <w:color w:val="auto"/>
                <w:highlight w:val="none"/>
                <w:lang w:val="en-US"/>
              </w:rPr>
            </w:pPr>
            <w:r>
              <w:rPr>
                <w:rFonts w:hint="eastAsia"/>
                <w:color w:val="auto"/>
                <w:highlight w:val="none"/>
                <w:lang w:val="en-US" w:eastAsia="zh-CN"/>
              </w:rPr>
              <w:t xml:space="preserve">14925</w:t>
            </w:r>
            <w:r/>
          </w:p>
        </w:tc>
      </w:tr>
    </w:tbl>
    <w:p>
      <w:pPr>
        <w:spacing w:line="67"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right="-512"/>
        <w:jc w:val="left"/>
        <w:keepLines w:val="0"/>
        <w:keepNext w:val="0"/>
        <w:pageBreakBefore w:val="0"/>
        <w:spacing w:line="500" w:lineRule="exact"/>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说明：各供应商的总价报价及分项报价均不得超过预算金额。否则</w:t>
      </w:r>
      <w:r>
        <w:rPr>
          <w:rFonts w:hint="eastAsia" w:ascii="宋体" w:hAnsi="宋体" w:eastAsia="宋体" w:cs="宋体"/>
          <w:b/>
          <w:color w:val="auto"/>
          <w:sz w:val="24"/>
          <w:szCs w:val="24"/>
          <w:highlight w:val="none"/>
          <w:lang w:val="en-US" w:eastAsia="zh-CN"/>
        </w:rPr>
        <w:t xml:space="preserve">按无效响应处理。</w:t>
      </w:r>
      <w:r/>
    </w:p>
    <w:p>
      <w:pPr>
        <w:numPr>
          <w:ilvl w:val="0"/>
          <w:numId w:val="11"/>
        </w:numPr>
        <w:jc w:val="left"/>
        <w:keepLines w:val="0"/>
        <w:keepNext w:val="0"/>
        <w:pageBreakBefore w:val="0"/>
        <w:spacing w:line="500" w:lineRule="exact"/>
        <w:rPr>
          <w:rFonts w:hint="eastAsia" w:ascii="宋体" w:hAnsi="宋体" w:eastAsia="宋体" w:cs="宋体"/>
          <w:b w:val="0"/>
          <w:bCs/>
          <w:color w:val="auto"/>
          <w:sz w:val="24"/>
          <w:szCs w:val="24"/>
          <w:highlight w:val="none"/>
          <w:lang w:eastAsia="zh-CN"/>
        </w:rPr>
        <w:outlineLvl w:val="1"/>
      </w:pPr>
      <w:r>
        <w:rPr>
          <w:rFonts w:hint="eastAsia" w:ascii="宋体" w:hAnsi="宋体" w:eastAsia="宋体" w:cs="宋体"/>
          <w:b/>
          <w:color w:val="auto"/>
          <w:sz w:val="24"/>
          <w:szCs w:val="24"/>
          <w:highlight w:val="none"/>
        </w:rPr>
        <w:t xml:space="preserve">成果要求</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符合国家、省、市主管部门相关标准</w:t>
      </w:r>
      <w:r/>
    </w:p>
    <w:p>
      <w:pPr>
        <w:numPr>
          <w:ilvl w:val="0"/>
          <w:numId w:val="11"/>
        </w:numPr>
        <w:jc w:val="left"/>
        <w:keepLines w:val="0"/>
        <w:keepNext w:val="0"/>
        <w:pageBreakBefore w:val="0"/>
        <w:spacing w:line="500" w:lineRule="exact"/>
        <w:rPr>
          <w:rFonts w:hint="eastAsia" w:ascii="宋体" w:hAnsi="宋体" w:eastAsia="宋体" w:cs="宋体"/>
          <w:b w:val="0"/>
          <w:bCs/>
          <w:color w:val="auto"/>
          <w:sz w:val="24"/>
          <w:szCs w:val="24"/>
          <w:highlight w:val="none"/>
          <w:lang w:eastAsia="zh-CN"/>
        </w:rPr>
        <w:outlineLvl w:val="1"/>
      </w:pPr>
      <w:r>
        <w:rPr>
          <w:rFonts w:hint="eastAsia" w:ascii="宋体" w:hAnsi="宋体" w:eastAsia="宋体" w:cs="宋体"/>
          <w:b w:val="0"/>
          <w:bCs/>
          <w:color w:val="auto"/>
          <w:sz w:val="24"/>
          <w:szCs w:val="24"/>
          <w:highlight w:val="none"/>
          <w:lang w:eastAsia="zh-CN"/>
        </w:rPr>
        <w:t xml:space="preserve">报价要求</w:t>
      </w:r>
      <w:r/>
    </w:p>
    <w:p>
      <w:pPr>
        <w:numPr>
          <w:ilvl w:val="0"/>
          <w:numId w:val="0"/>
        </w:numPr>
        <w:ind w:firstLine="480"/>
        <w:jc w:val="left"/>
        <w:keepLines w:val="0"/>
        <w:keepNext w:val="0"/>
        <w:pageBreakBefore w:val="0"/>
        <w:spacing w:line="500" w:lineRule="exact"/>
        <w:rPr>
          <w:rFonts w:hint="eastAsia" w:ascii="宋体" w:hAnsi="宋体" w:eastAsia="宋体" w:cs="宋体"/>
          <w:b w:val="0"/>
          <w:bCs/>
          <w:color w:val="auto"/>
          <w:sz w:val="24"/>
          <w:szCs w:val="24"/>
          <w:highlight w:val="none"/>
          <w:lang w:eastAsia="zh-CN"/>
        </w:rPr>
        <w:outlineLvl w:val="1"/>
      </w:pPr>
      <w:r>
        <w:rPr>
          <w:rFonts w:hint="eastAsia" w:ascii="宋体" w:hAnsi="宋体" w:eastAsia="宋体" w:cs="宋体"/>
          <w:b w:val="0"/>
          <w:bCs/>
          <w:color w:val="auto"/>
          <w:sz w:val="24"/>
          <w:szCs w:val="24"/>
          <w:highlight w:val="none"/>
          <w:lang w:eastAsia="zh-CN"/>
        </w:rPr>
        <w:t xml:space="preserve">本项目采用固定总价报价，报价内容应包括但不限于人员的工资、管理费、税费、合理利润、专家评估费</w:t>
      </w:r>
      <w:r>
        <w:rPr>
          <w:rFonts w:hint="eastAsia" w:ascii="宋体" w:hAnsi="宋体" w:cs="宋体"/>
          <w:b w:val="0"/>
          <w:bCs/>
          <w:color w:val="auto"/>
          <w:sz w:val="24"/>
          <w:szCs w:val="24"/>
          <w:highlight w:val="none"/>
          <w:lang w:val="en-US" w:eastAsia="zh-CN"/>
        </w:rPr>
        <w:t xml:space="preserve">等项目实施</w:t>
      </w:r>
      <w:r>
        <w:rPr>
          <w:rFonts w:hint="eastAsia" w:ascii="宋体" w:hAnsi="宋体" w:eastAsia="宋体" w:cs="宋体"/>
          <w:b w:val="0"/>
          <w:bCs/>
          <w:color w:val="auto"/>
          <w:sz w:val="24"/>
          <w:szCs w:val="24"/>
          <w:highlight w:val="none"/>
          <w:lang w:eastAsia="zh-CN"/>
        </w:rPr>
        <w:t xml:space="preserve">过程中所涉及到的一切费用。供应商漏报少报的费用，视为此项费用已包含在报价中，成交供应商不得再向采购单位收取任何费用。</w:t>
      </w:r>
      <w:r/>
    </w:p>
    <w:p>
      <w:pPr>
        <w:keepLines w:val="0"/>
        <w:keepNext w:val="0"/>
        <w:pageBreakBefore w:val="0"/>
        <w:spacing w:line="500" w:lineRule="exact"/>
        <w:widowControl/>
        <w:rPr>
          <w:rFonts w:hint="eastAsia" w:ascii="宋体" w:hAnsi="宋体" w:eastAsia="宋体" w:cs="宋体"/>
          <w:b/>
          <w:color w:val="auto"/>
          <w:sz w:val="24"/>
          <w:szCs w:val="22"/>
          <w:highlight w:val="none"/>
        </w:rPr>
      </w:pPr>
      <w:r>
        <w:rPr>
          <w:rFonts w:hint="eastAsia" w:ascii="宋体" w:hAnsi="宋体" w:cs="宋体"/>
          <w:b/>
          <w:color w:val="auto"/>
          <w:sz w:val="24"/>
          <w:szCs w:val="22"/>
          <w:highlight w:val="none"/>
          <w:lang w:val="en-US" w:eastAsia="zh-CN"/>
        </w:rPr>
        <w:t xml:space="preserve">七</w:t>
      </w:r>
      <w:r>
        <w:rPr>
          <w:rFonts w:hint="eastAsia" w:ascii="宋体" w:hAnsi="宋体" w:eastAsia="宋体" w:cs="宋体"/>
          <w:b/>
          <w:color w:val="auto"/>
          <w:sz w:val="24"/>
          <w:szCs w:val="22"/>
          <w:highlight w:val="none"/>
        </w:rPr>
        <w:t xml:space="preserve">、其他要求</w:t>
      </w:r>
      <w:r/>
    </w:p>
    <w:p>
      <w:pPr>
        <w:ind w:right="36" w:firstLine="480"/>
        <w:keepLines w:val="0"/>
        <w:keepNext w:val="0"/>
        <w:pageBreakBefore w:val="0"/>
        <w:spacing w:before="91" w:line="360" w:lineRule="auto"/>
        <w:tabs>
          <w:tab w:val="left" w:pos="9040" w:leader="none"/>
          <w:tab w:val="left" w:pos="9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成交后供应商不得转包。供应商提供的服务必须全部达到采购文件各项要求，国家或行业有规定的，还要符合相应规定。服务期满前，成交供应商应根据采购人要求提供完整的文档资料，并配合采购人做好与本项目相关任务的衔接工作。</w:t>
      </w:r>
      <w:r/>
    </w:p>
    <w:p>
      <w:pPr>
        <w:ind w:right="36" w:firstLine="480"/>
        <w:keepLines w:val="0"/>
        <w:keepNext w:val="0"/>
        <w:pageBreakBefore w:val="0"/>
        <w:spacing w:before="91"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2、供应商在响应文件中应对磋商文件中提出的服务要求做出响应，如果其中某些条款未按磋商文件中提出的要求响应的，应在响应文件中逐条列出，未列出的视同响应。</w:t>
      </w:r>
      <w:r/>
    </w:p>
    <w:p>
      <w:pPr>
        <w:ind w:right="36" w:firstLine="480"/>
        <w:keepLines w:val="0"/>
        <w:keepNext w:val="0"/>
        <w:pageBreakBefore w:val="0"/>
        <w:spacing w:before="91" w:line="360" w:lineRule="auto"/>
        <w:tabs>
          <w:tab w:val="left" w:pos="9040" w:leader="none"/>
        </w:tabs>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3、响应单位须具备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rPr>
          <w:rFonts w:hint="eastAsia" w:ascii="宋体" w:hAnsi="宋体" w:eastAsia="宋体" w:cs="宋体"/>
          <w:color w:val="auto"/>
          <w:szCs w:val="21"/>
          <w:highlight w:val="none"/>
        </w:rPr>
        <w:t xml:space="preserve">。</w:t>
      </w:r>
      <w:r/>
    </w:p>
    <w:p>
      <w:pPr>
        <w:ind w:firstLine="480"/>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4、验收：成交单位服务结束并出具成果后，由采购人组织相关人员进行验收，</w:t>
      </w:r>
      <w:r/>
    </w:p>
    <w:p>
      <w:pPr>
        <w:keepLines w:val="0"/>
        <w:keepNext w:val="0"/>
        <w:pageBreakBefore w:val="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采购人出具标明“验收合格 ”的《验收书》</w:t>
      </w:r>
      <w:r>
        <w:rPr>
          <w:rFonts w:hint="eastAsia" w:ascii="宋体" w:hAnsi="宋体" w:eastAsia="宋体" w:cs="宋体"/>
          <w:b w:val="0"/>
          <w:bCs w:val="0"/>
          <w:color w:val="auto"/>
          <w:sz w:val="24"/>
          <w:highlight w:val="none"/>
          <w:lang w:eastAsia="zh-CN"/>
        </w:rPr>
        <w:t xml:space="preserve">。</w:t>
      </w:r>
      <w:r/>
    </w:p>
    <w:p>
      <w:pPr>
        <w:ind w:left="239" w:firstLine="240"/>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val="0"/>
          <w:bCs w:val="0"/>
          <w:color w:val="auto"/>
          <w:sz w:val="24"/>
          <w:highlight w:val="none"/>
        </w:rPr>
        <w:t xml:space="preserve">5、服务期、交付方式及交付地点</w:t>
      </w:r>
      <w:r>
        <w:rPr>
          <w:rFonts w:hint="eastAsia" w:ascii="宋体" w:hAnsi="宋体" w:eastAsia="宋体" w:cs="宋体"/>
          <w:b/>
          <w:bCs/>
          <w:color w:val="auto"/>
          <w:sz w:val="24"/>
          <w:highlight w:val="none"/>
        </w:rPr>
        <w:br/>
      </w:r>
      <w:r>
        <w:rPr>
          <w:rFonts w:hint="eastAsia" w:ascii="宋体" w:hAnsi="宋体" w:eastAsia="宋体" w:cs="宋体"/>
          <w:b/>
          <w:color w:val="auto"/>
          <w:sz w:val="24"/>
          <w:highlight w:val="none"/>
        </w:rPr>
        <w:t xml:space="preserve">★5.1服务期限：自合同签订之日</w:t>
      </w:r>
      <w:r>
        <w:rPr>
          <w:rFonts w:hint="eastAsia" w:ascii="宋体" w:hAnsi="宋体" w:eastAsia="宋体" w:cs="宋体"/>
          <w:b/>
          <w:color w:val="auto"/>
          <w:sz w:val="24"/>
          <w:highlight w:val="none"/>
          <w:lang w:val="en-US" w:eastAsia="zh-CN"/>
        </w:rPr>
        <w:t xml:space="preserve">起至202</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lang w:val="en-US" w:eastAsia="zh-CN"/>
        </w:rPr>
        <w:t xml:space="preserve">年11月底</w:t>
      </w:r>
      <w:r>
        <w:rPr>
          <w:rFonts w:hint="eastAsia" w:ascii="宋体" w:hAnsi="宋体" w:eastAsia="宋体" w:cs="宋体"/>
          <w:b/>
          <w:color w:val="auto"/>
          <w:sz w:val="24"/>
          <w:highlight w:val="none"/>
        </w:rPr>
        <w:t xml:space="preserve">完成。</w:t>
      </w:r>
      <w:r/>
    </w:p>
    <w:p>
      <w:pPr>
        <w:ind w:firstLine="480"/>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b w:val="0"/>
          <w:bCs w:val="0"/>
          <w:color w:val="auto"/>
          <w:sz w:val="24"/>
          <w:highlight w:val="none"/>
        </w:rPr>
        <w:t xml:space="preserve">5.2 交付方式：</w:t>
      </w: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u w:val="single"/>
          <w:lang w:val="en-US" w:eastAsia="zh-CN"/>
        </w:rPr>
        <w:t xml:space="preserve">指定方式</w:t>
      </w:r>
      <w:r>
        <w:rPr>
          <w:rFonts w:hint="eastAsia" w:ascii="宋体" w:hAnsi="宋体" w:eastAsia="宋体" w:cs="宋体"/>
          <w:color w:val="auto"/>
          <w:sz w:val="24"/>
          <w:highlight w:val="none"/>
          <w:u w:val="single"/>
        </w:rPr>
        <w:t xml:space="preserve">。</w:t>
      </w:r>
      <w:r/>
    </w:p>
    <w:p>
      <w:pPr>
        <w:ind w:left="0" w:firstLine="420"/>
        <w:keepLines w:val="0"/>
        <w:keepNext w:val="0"/>
        <w:pageBreakBefore w:val="0"/>
        <w:spacing w:line="360" w:lineRule="auto"/>
        <w:rPr>
          <w:rFonts w:hint="eastAsia" w:ascii="宋体" w:hAnsi="宋体" w:eastAsia="宋体" w:cs="宋体"/>
          <w:b/>
          <w:bCs/>
          <w:color w:val="auto"/>
          <w:sz w:val="24"/>
          <w:highlight w:val="none"/>
          <w:u w:val="single"/>
        </w:rPr>
      </w:pPr>
      <w:r>
        <w:rPr>
          <w:rFonts w:hint="eastAsia" w:ascii="宋体" w:hAnsi="宋体" w:eastAsia="宋体" w:cs="宋体"/>
          <w:b w:val="0"/>
          <w:bCs w:val="0"/>
          <w:color w:val="auto"/>
          <w:sz w:val="24"/>
          <w:highlight w:val="none"/>
        </w:rPr>
        <w:t xml:space="preserve">5.3 交付地点：</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采购人指定地点</w:t>
      </w:r>
      <w:r>
        <w:rPr>
          <w:rFonts w:hint="eastAsia" w:ascii="宋体" w:hAnsi="宋体" w:eastAsia="宋体" w:cs="宋体"/>
          <w:b/>
          <w:bCs/>
          <w:color w:val="auto"/>
          <w:sz w:val="24"/>
          <w:highlight w:val="none"/>
          <w:u w:val="single"/>
        </w:rPr>
        <w:t xml:space="preserve">   </w:t>
      </w:r>
      <w:r/>
    </w:p>
    <w:p>
      <w:pPr>
        <w:pStyle w:val="1151"/>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w:t>
      </w:r>
      <w:r>
        <w:rPr>
          <w:rFonts w:hint="eastAsia" w:ascii="宋体" w:hAnsi="宋体" w:eastAsia="宋体" w:cs="宋体"/>
          <w:bCs/>
          <w:color w:val="auto"/>
          <w:sz w:val="32"/>
          <w:szCs w:val="32"/>
          <w:highlight w:val="none"/>
        </w:rPr>
        <w:t xml:space="preserve">★</w:t>
      </w:r>
      <w:r>
        <w:rPr>
          <w:rFonts w:hint="eastAsia" w:ascii="宋体" w:hAnsi="宋体" w:eastAsia="宋体" w:cs="宋体"/>
          <w:b/>
          <w:bCs/>
          <w:color w:val="auto"/>
          <w:sz w:val="24"/>
          <w:highlight w:val="none"/>
          <w:lang w:val="en-US" w:eastAsia="zh-CN"/>
        </w:rPr>
        <w:t xml:space="preserve">付款方式：</w:t>
      </w:r>
      <w:r>
        <w:rPr>
          <w:rFonts w:hint="eastAsia" w:ascii="宋体" w:hAnsi="宋体" w:eastAsia="宋体" w:cs="宋体"/>
          <w:color w:val="auto"/>
          <w:sz w:val="24"/>
          <w:szCs w:val="24"/>
          <w:highlight w:val="none"/>
        </w:rPr>
        <w:t xml:space="preserve">第一次付款：合同签订生效并具备实施条件后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内支付合同总金额的30%，用于购买防控药剂；</w:t>
      </w:r>
      <w:r/>
    </w:p>
    <w:p>
      <w:pPr>
        <w:pStyle w:val="1151"/>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第二次付款程序：成交单位服务结束并出具成果后，由采购人组织相关人员进行验收，采购人出具标明“验收合格 ”的《验收书》并核对无误后将剩余合同款支付给成交单位。</w:t>
      </w:r>
      <w:r/>
    </w:p>
    <w:p>
      <w:pPr>
        <w:pStyle w:val="1151"/>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付款前供应商应向采购人开具正规发票，否则采购人有权拒绝付款。采购人对满足合同约定支付条件的项目自收到发票后10个工作日内将资金支付到约定的供应商账户（以发票开具日期计算）。</w:t>
      </w:r>
      <w:r/>
    </w:p>
    <w:p>
      <w:pPr>
        <w:pStyle w:val="1151"/>
        <w:keepLines w:val="0"/>
        <w:keepNext w:val="0"/>
        <w:pageBreakBefore w:val="0"/>
        <w:spacing w:line="360" w:lineRule="auto"/>
        <w:widowControl w:val="off"/>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en-US" w:eastAsia="zh-CN" w:bidi="ar"/>
        </w:rPr>
        <w:t xml:space="preserve">7</w:t>
      </w:r>
      <w:r>
        <w:rPr>
          <w:rFonts w:hint="eastAsia" w:ascii="宋体" w:hAnsi="宋体" w:eastAsia="宋体" w:cs="宋体"/>
          <w:b w:val="0"/>
          <w:bCs/>
          <w:color w:val="auto"/>
          <w:sz w:val="24"/>
          <w:highlight w:val="none"/>
          <w:lang w:bidi="ar"/>
        </w:rPr>
        <w:t xml:space="preserve">、履约保证金</w:t>
      </w:r>
      <w:r>
        <w:rPr>
          <w:rFonts w:hint="eastAsia" w:ascii="宋体" w:hAnsi="宋体" w:eastAsia="宋体" w:cs="宋体"/>
          <w:b w:val="0"/>
          <w:bCs/>
          <w:color w:val="auto"/>
          <w:sz w:val="24"/>
          <w:highlight w:val="none"/>
          <w:lang w:eastAsia="zh-CN" w:bidi="ar"/>
        </w:rPr>
        <w:t xml:space="preserve">：本</w:t>
      </w:r>
      <w:r>
        <w:rPr>
          <w:rFonts w:hint="eastAsia" w:ascii="宋体" w:hAnsi="宋体" w:eastAsia="宋体" w:cs="宋体"/>
          <w:b w:val="0"/>
          <w:bCs/>
          <w:color w:val="auto"/>
          <w:sz w:val="24"/>
          <w:highlight w:val="none"/>
          <w:lang w:bidi="ar"/>
        </w:rPr>
        <w:t xml:space="preserve">项目不收取履约保证金。</w:t>
      </w:r>
      <w:r/>
    </w:p>
    <w:p>
      <w:pPr>
        <w:pStyle w:val="1083"/>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20"/>
        <w:rPr>
          <w:rFonts w:hint="eastAsia" w:ascii="宋体" w:hAnsi="宋体" w:eastAsia="宋体" w:cs="宋体"/>
          <w:color w:val="auto"/>
          <w:highlight w:val="none"/>
        </w:rPr>
      </w:pPr>
      <w:r>
        <w:rPr>
          <w:rFonts w:hint="eastAsia" w:ascii="宋体" w:hAnsi="宋体" w:eastAsia="宋体" w:cs="宋体"/>
          <w:color w:val="auto"/>
          <w:highlight w:val="none"/>
        </w:rPr>
      </w:r>
      <w:bookmarkEnd w:id="179"/>
      <w:bookmarkEnd w:id="180"/>
      <w:bookmarkEnd w:id="181"/>
      <w:r/>
    </w:p>
    <w:p>
      <w:pPr>
        <w:pStyle w:val="1037"/>
        <w:jc w:val="center"/>
        <w:keepLines w:val="0"/>
        <w:keepNext/>
        <w:pageBreakBefore w:val="0"/>
        <w:widowControl/>
        <w:rPr>
          <w:rFonts w:hint="eastAsia" w:ascii="宋体" w:hAnsi="宋体" w:eastAsia="宋体" w:cs="宋体"/>
          <w:b/>
          <w:bCs/>
          <w:color w:val="auto"/>
          <w:sz w:val="44"/>
          <w:szCs w:val="44"/>
          <w:highlight w:val="none"/>
        </w:rPr>
      </w:pPr>
      <w:r/>
      <w:bookmarkStart w:id="182" w:name="_Toc465856615"/>
      <w:r/>
      <w:bookmarkStart w:id="183" w:name="_Toc23658"/>
      <w:r/>
      <w:bookmarkStart w:id="184" w:name="_Toc31702"/>
      <w:r/>
      <w:bookmarkStart w:id="185" w:name="_Toc25773"/>
      <w:r/>
      <w:bookmarkStart w:id="186" w:name="_Toc26554097"/>
      <w:r/>
      <w:bookmarkStart w:id="187" w:name="_Toc61149622"/>
      <w:r/>
      <w:bookmarkStart w:id="188" w:name="_Toc2382848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评审方法和评审标准</w:t>
      </w:r>
      <w:bookmarkEnd w:id="182"/>
      <w:r/>
      <w:bookmarkEnd w:id="183"/>
      <w:r/>
      <w:bookmarkEnd w:id="184"/>
      <w:r/>
      <w:bookmarkEnd w:id="185"/>
      <w:r/>
      <w:r/>
    </w:p>
    <w:p>
      <w:pPr>
        <w:pStyle w:val="1116"/>
        <w:ind w:firstLine="301"/>
        <w:jc w:val="left"/>
        <w:keepLines w:val="0"/>
        <w:keepNext/>
        <w:pageBreakBefore w:val="0"/>
        <w:spacing w:before="0" w:after="0"/>
        <w:widowControl/>
        <w:rPr>
          <w:rFonts w:hint="eastAsia" w:ascii="宋体" w:hAnsi="宋体" w:cs="宋体"/>
          <w:b/>
          <w:color w:val="auto"/>
          <w:sz w:val="15"/>
          <w:szCs w:val="15"/>
          <w:highlight w:val="none"/>
        </w:rPr>
      </w:pPr>
      <w:r>
        <w:rPr>
          <w:rFonts w:hint="eastAsia" w:ascii="宋体" w:hAnsi="宋体" w:cs="宋体"/>
          <w:b/>
          <w:color w:val="auto"/>
          <w:sz w:val="15"/>
          <w:szCs w:val="15"/>
          <w:highlight w:val="none"/>
        </w:rPr>
      </w:r>
      <w:r/>
    </w:p>
    <w:p>
      <w:pPr>
        <w:pStyle w:val="1116"/>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cs="宋体"/>
          <w:b/>
          <w:color w:val="auto"/>
          <w:highlight w:val="none"/>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1116"/>
        <w:ind w:firstLine="480"/>
        <w:jc w:val="left"/>
        <w:keepLines w:val="0"/>
        <w:keepNext/>
        <w:pageBreakBefore w:val="0"/>
        <w:spacing w:before="0" w:after="0"/>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w:t>
      </w:r>
      <w:r>
        <w:rPr>
          <w:rFonts w:hint="eastAsia" w:ascii="宋体" w:hAnsi="宋体" w:cs="宋体"/>
          <w:bCs/>
          <w:color w:val="auto"/>
          <w:sz w:val="24"/>
          <w:highlight w:val="none"/>
        </w:rPr>
        <w:t xml:space="preserve">采购人代表和评审专家组成</w:t>
      </w:r>
      <w:r>
        <w:rPr>
          <w:rFonts w:hint="eastAsia" w:ascii="宋体" w:hAnsi="宋体" w:eastAsia="宋体" w:cs="宋体"/>
          <w:bCs/>
          <w:color w:val="auto"/>
          <w:highlight w:val="none"/>
        </w:rPr>
        <w:t xml:space="preserve">。</w:t>
      </w:r>
      <w:r/>
    </w:p>
    <w:p>
      <w:pPr>
        <w:pStyle w:val="1116"/>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p>
    <w:p>
      <w:pPr>
        <w:pStyle w:val="1116"/>
        <w:ind w:firstLine="480"/>
        <w:jc w:val="left"/>
        <w:keepLines w:val="0"/>
        <w:keepNext/>
        <w:pageBreakBefore w:val="0"/>
        <w:spacing w:before="0" w:after="0" w:line="360" w:lineRule="auto"/>
        <w:widowControl/>
        <w:rPr>
          <w:rFonts w:hint="eastAsia" w:ascii="宋体" w:hAnsi="宋体" w:eastAsia="宋体" w:cs="宋体"/>
          <w:color w:val="auto"/>
          <w:highlight w:val="none"/>
        </w:rPr>
      </w:pPr>
      <w:r>
        <w:rPr>
          <w:rFonts w:hint="eastAsia" w:ascii="宋体" w:hAnsi="宋体" w:eastAsia="宋体" w:cs="宋体"/>
          <w:i w:val="0"/>
          <w:iCs w:val="0"/>
          <w:color w:val="auto"/>
          <w:sz w:val="24"/>
          <w:szCs w:val="24"/>
          <w:highlight w:val="none"/>
        </w:rPr>
        <w:t xml:space="preserve">本项目评标方法采用综合评分法</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116"/>
        <w:ind w:firstLine="482"/>
        <w:jc w:val="left"/>
        <w:keepLines w:val="0"/>
        <w:keepNext/>
        <w:pageBreakBefore w:val="0"/>
        <w:spacing w:before="0" w:after="0"/>
        <w:widowControl/>
        <w:rPr>
          <w:rFonts w:hint="eastAsia" w:ascii="宋体" w:hAnsi="宋体" w:eastAsia="宋体" w:cs="宋体"/>
          <w:b/>
          <w:bCs w:val="0"/>
          <w:color w:val="auto"/>
          <w:highlight w:val="none"/>
          <w:lang w:eastAsia="zh-CN"/>
        </w:rPr>
      </w:pPr>
      <w:r>
        <w:rPr>
          <w:rFonts w:hint="eastAsia" w:ascii="宋体" w:hAnsi="宋体" w:eastAsia="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1116"/>
        <w:ind w:firstLine="480"/>
        <w:jc w:val="left"/>
        <w:keepLines w:val="0"/>
        <w:keepNext/>
        <w:pageBreakBefore w:val="0"/>
        <w:spacing w:before="0" w:after="0"/>
        <w:widowControl/>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116"/>
        <w:ind w:firstLine="482"/>
        <w:jc w:val="left"/>
        <w:keepLines w:val="0"/>
        <w:keepNext/>
        <w:pageBreakBefore w:val="0"/>
        <w:spacing w:before="0" w:after="0" w:line="360" w:lineRule="auto"/>
        <w:widowControl/>
        <w:rPr>
          <w:rFonts w:hint="eastAsia" w:ascii="宋体" w:hAnsi="宋体" w:eastAsia="宋体" w:cs="宋体"/>
          <w:b/>
          <w:bCs w:val="0"/>
          <w:color w:val="auto"/>
          <w:highlight w:val="none"/>
        </w:rPr>
      </w:pPr>
      <w:r>
        <w:rPr>
          <w:rFonts w:hint="eastAsia" w:ascii="宋体" w:hAnsi="宋体" w:eastAsia="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1116"/>
        <w:ind w:firstLine="480"/>
        <w:jc w:val="left"/>
        <w:keepLines w:val="0"/>
        <w:keepNext/>
        <w:pageBreakBefore w:val="0"/>
        <w:spacing w:before="0" w:after="0" w:line="360" w:lineRule="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1076"/>
        <w:ind w:firstLine="480"/>
        <w:jc w:val="left"/>
        <w:keepLines w:val="0"/>
        <w:keepNext/>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076"/>
        <w:ind w:firstLine="482"/>
        <w:jc w:val="center"/>
        <w:keepLines w:val="0"/>
        <w:keepNext/>
        <w:pageBreakBefore w:val="0"/>
        <w:spacing w:line="360" w:lineRule="auto"/>
        <w:widowControl/>
        <w:tabs>
          <w:tab w:val="left" w:pos="720" w:leader="none"/>
        </w:tabs>
        <w:rPr>
          <w:rFonts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评分标准</w:t>
      </w:r>
      <w:r/>
    </w:p>
    <w:tbl>
      <w:tblPr>
        <w:tblStyle w:val="852"/>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0"/>
        <w:gridCol w:w="735"/>
        <w:gridCol w:w="6789"/>
        <w:gridCol w:w="702"/>
      </w:tblGrid>
      <w:tr>
        <w:trPr>
          <w:jc w:val="center"/>
          <w:trHeight w:val="390"/>
        </w:trPr>
        <w:tc>
          <w:tcPr>
            <w:gridSpan w:val="2"/>
            <w:tcW w:w="1955" w:type="dxa"/>
            <w:vAlign w:val="center"/>
            <w:textDirection w:val="lrTb"/>
            <w:noWrap w:val="false"/>
          </w:tcPr>
          <w:p>
            <w:pPr>
              <w:ind w:firstLine="422"/>
              <w:jc w:val="center"/>
              <w:keepLines w:val="0"/>
              <w:keepNext/>
              <w:pageBreakBefore w:val="0"/>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评分因素</w:t>
            </w:r>
            <w:r/>
          </w:p>
        </w:tc>
        <w:tc>
          <w:tcPr>
            <w:tcW w:w="6789" w:type="dxa"/>
            <w:vAlign w:val="center"/>
            <w:textDirection w:val="lrTb"/>
            <w:noWrap w:val="false"/>
          </w:tcPr>
          <w:p>
            <w:pPr>
              <w:ind w:firstLine="422"/>
              <w:jc w:val="center"/>
              <w:keepLines w:val="0"/>
              <w:keepNext/>
              <w:pageBreakBefore w:val="0"/>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评分内容</w:t>
            </w:r>
            <w:r/>
          </w:p>
        </w:tc>
        <w:tc>
          <w:tcPr>
            <w:tcW w:w="702" w:type="dxa"/>
            <w:vAlign w:val="center"/>
            <w:textDirection w:val="lrTb"/>
            <w:noWrap w:val="false"/>
          </w:tcPr>
          <w:p>
            <w:pPr>
              <w:keepLines w:val="0"/>
              <w:keepNext/>
              <w:pageBreakBefore w:val="0"/>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Pr>
        <w:tc>
          <w:tcPr>
            <w:gridSpan w:val="2"/>
            <w:tcW w:w="1955" w:type="dxa"/>
            <w:vAlign w:val="center"/>
            <w:textDirection w:val="lrTb"/>
            <w:noWrap w:val="false"/>
          </w:tcPr>
          <w:p>
            <w:pPr>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报价评分（</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tc>
        <w:tc>
          <w:tcPr>
            <w:tcW w:w="6789" w:type="dxa"/>
            <w:vAlign w:val="center"/>
            <w:textDirection w:val="lrTb"/>
            <w:noWrap w:val="false"/>
          </w:tcPr>
          <w:p>
            <w:pPr>
              <w:pStyle w:val="868"/>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评标基准分：10分</w:t>
            </w:r>
            <w:r/>
          </w:p>
          <w:p>
            <w:pPr>
              <w:pStyle w:val="868"/>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评标基准价：投标报价统一采用低价优先法计算，即满足磋商文件要求且最后报价最低的供应商的价格为磋商基准价，其价格分为满分。其他供应商的价格分统一按照下列公式计算： 磋商报价得分=（磋商基准价/最后磋商报价）×10分（四舍五入后保留小数点后两位）</w:t>
            </w:r>
            <w:r/>
          </w:p>
          <w:p>
            <w:pPr>
              <w:ind w:firstLine="420"/>
              <w:keepLines w:val="0"/>
              <w:keepNext/>
              <w:pageBreakBefore w:val="0"/>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项目评审过程中，不得去掉最后报价中的最高报价和最低报价。 </w:t>
            </w:r>
            <w:r/>
          </w:p>
        </w:tc>
        <w:tc>
          <w:tcPr>
            <w:tcW w:w="702" w:type="dxa"/>
            <w:vAlign w:val="center"/>
            <w:textDirection w:val="lrTb"/>
            <w:noWrap w:val="false"/>
          </w:tcPr>
          <w:p>
            <w:pPr>
              <w:jc w:val="center"/>
              <w:keepLines w:val="0"/>
              <w:keepNext/>
              <w:pageBreakBefore w:val="0"/>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rPr>
              <w:t xml:space="preserve">0</w:t>
            </w:r>
            <w:r/>
          </w:p>
        </w:tc>
      </w:tr>
      <w:tr>
        <w:trPr>
          <w:jc w:val="center"/>
          <w:trHeight w:val="90"/>
        </w:trPr>
        <w:tc>
          <w:tcPr>
            <w:tcW w:w="1220" w:type="dxa"/>
            <w:vAlign w:val="center"/>
            <w:vMerge w:val="restart"/>
            <w:textDirection w:val="lrTb"/>
            <w:noWrap w:val="false"/>
          </w:tcPr>
          <w:p>
            <w:pP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技术部分</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46</w:t>
            </w:r>
            <w:bookmarkStart w:id="206" w:name="_GoBack"/>
            <w:r/>
            <w:bookmarkEnd w:id="206"/>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tc>
        <w:tc>
          <w:tcPr>
            <w:tcW w:w="735" w:type="dxa"/>
            <w:vAlign w:val="center"/>
            <w:textDirection w:val="lrTb"/>
            <w:noWrap w:val="false"/>
          </w:tcPr>
          <w:p>
            <w:pPr>
              <w:jc w:val="cente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总体服务方</w:t>
            </w:r>
            <w:r>
              <w:rPr>
                <w:rFonts w:hint="eastAsia" w:ascii="宋体" w:hAnsi="宋体" w:eastAsia="宋体" w:cs="宋体"/>
                <w:color w:val="auto"/>
                <w:sz w:val="21"/>
                <w:szCs w:val="21"/>
                <w:highlight w:val="none"/>
              </w:rPr>
              <w:t xml:space="preserve">案</w:t>
            </w:r>
            <w:r/>
          </w:p>
        </w:tc>
        <w:tc>
          <w:tcPr>
            <w:tcW w:w="6789" w:type="dxa"/>
            <w:vAlign w:val="center"/>
            <w:textDirection w:val="lrTb"/>
            <w:noWrap w:val="false"/>
          </w:tcPr>
          <w:p>
            <w:pP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根据本项目服务需求，</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提供总体服务方案进行综合评审：</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1、整体服务方案理解深刻，总体思路清晰，方案具体详实，定位准确，工作目标、 内容和要求分析全面的，得5分；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2、整体服务方案理解全面，总体思路清晰，定位准确，工作目标、内容和要求分析，满足本项目采购需求的，得3分；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3、整体服务方案理解思路清晰但需要进一步完善的得1分；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4、总体服务方案不可行或未提供的不得分。</w:t>
            </w:r>
            <w:r/>
          </w:p>
        </w:tc>
        <w:tc>
          <w:tcPr>
            <w:tcW w:w="702" w:type="dxa"/>
            <w:vAlign w:val="center"/>
            <w:textDirection w:val="lrTb"/>
            <w:noWrap w:val="false"/>
          </w:tcPr>
          <w:p>
            <w:pPr>
              <w:jc w:val="center"/>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1581"/>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rPr>
              <w:t xml:space="preserve">项目重点难</w:t>
            </w:r>
            <w:r>
              <w:rPr>
                <w:rFonts w:hint="eastAsia" w:ascii="宋体" w:hAnsi="宋体" w:eastAsia="宋体" w:cs="宋体"/>
                <w:color w:val="auto"/>
                <w:sz w:val="21"/>
                <w:szCs w:val="21"/>
                <w:highlight w:val="none"/>
              </w:rPr>
              <w:t xml:space="preserve">点</w:t>
            </w:r>
            <w:r/>
          </w:p>
        </w:tc>
        <w:tc>
          <w:tcPr>
            <w:tcW w:w="6789" w:type="dxa"/>
            <w:vAlign w:val="center"/>
            <w:textDirection w:val="lrTb"/>
            <w:noWrap w:val="false"/>
          </w:tcPr>
          <w:p>
            <w:pP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根据供应商提供的，针对本项目特点提出的重点、难点及解决方案情况，进行综合评审:</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内容完整详细，可行性、实用性、针对性强，得5分；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内容完整，具有可行性、实用性、针对性，得3分；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内容基本适合采购需求，可行性、实用性、针对性有待改善，得 1 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4、方案不可行或者未提供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c>
          <w:tcPr>
            <w:tcW w:w="702" w:type="dxa"/>
            <w:vAlign w:val="center"/>
            <w:textDirection w:val="lrTb"/>
            <w:noWrap w:val="false"/>
          </w:tcPr>
          <w:p>
            <w:pPr>
              <w:jc w:val="center"/>
              <w:keepLines w:val="0"/>
              <w:keepNext/>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7"/>
                <w:sz w:val="21"/>
                <w:szCs w:val="21"/>
                <w:highlight w:val="none"/>
              </w:rPr>
              <w:t xml:space="preserve">服务承诺和</w:t>
            </w:r>
            <w:r>
              <w:rPr>
                <w:rFonts w:hint="eastAsia" w:ascii="宋体" w:hAnsi="宋体" w:eastAsia="宋体" w:cs="宋体"/>
                <w:color w:val="auto"/>
                <w:spacing w:val="5"/>
                <w:sz w:val="21"/>
                <w:szCs w:val="21"/>
                <w:highlight w:val="none"/>
              </w:rPr>
              <w:t xml:space="preserve">合理化建议</w:t>
            </w:r>
            <w:r/>
          </w:p>
        </w:tc>
        <w:tc>
          <w:tcPr>
            <w:tcW w:w="6789" w:type="dxa"/>
            <w:vAlign w:val="center"/>
            <w:textDirection w:val="lrTb"/>
            <w:noWrap w:val="false"/>
          </w:tcPr>
          <w:p>
            <w:pP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根据供应商提供的服务承诺、合理化建议情况，进行综合评审：</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1、承诺及建议内容完整详细，可行性、实用性、针对性强，得5 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2、承诺及建议内容完整，具有可行性、实用性、针对性，得3 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3、承诺及建议内容基本适合采购需求，可行性、实用性、针对性有待改善，得1分；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4、承诺及建议不可行或者未提供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c>
          <w:tcPr>
            <w:tcW w:w="702" w:type="dxa"/>
            <w:vAlign w:val="center"/>
            <w:textDirection w:val="lrTb"/>
            <w:noWrap w:val="false"/>
          </w:tcPr>
          <w:p>
            <w:pPr>
              <w:jc w:val="center"/>
              <w:keepLines w:val="0"/>
              <w:keepNext/>
              <w:pageBreakBefore w:val="0"/>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r>
      <w:tr>
        <w:trPr>
          <w:jc w:val="center"/>
          <w:trHeight w:val="701"/>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rPr>
              <w:t xml:space="preserve">作业</w:t>
            </w:r>
            <w:r>
              <w:rPr>
                <w:rFonts w:hint="eastAsia" w:ascii="宋体" w:hAnsi="宋体" w:cs="宋体"/>
                <w:color w:val="auto"/>
                <w:spacing w:val="6"/>
                <w:sz w:val="21"/>
                <w:szCs w:val="21"/>
                <w:highlight w:val="none"/>
                <w:lang w:val="en-US" w:eastAsia="zh-CN"/>
              </w:rPr>
              <w:t xml:space="preserve">技术能力</w:t>
            </w:r>
            <w:r/>
          </w:p>
        </w:tc>
        <w:tc>
          <w:tcPr>
            <w:tcW w:w="6789" w:type="dxa"/>
            <w:vAlign w:val="center"/>
            <w:textDirection w:val="lrTb"/>
            <w:noWrap w:val="false"/>
          </w:tcPr>
          <w:p>
            <w:pP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根据供应商提供的作业</w:t>
            </w:r>
            <w:r>
              <w:rPr>
                <w:rFonts w:hint="eastAsia" w:ascii="宋体" w:hAnsi="宋体" w:cs="宋体"/>
                <w:color w:val="auto"/>
                <w:sz w:val="21"/>
                <w:szCs w:val="21"/>
                <w:highlight w:val="none"/>
                <w:lang w:val="en-US" w:eastAsia="zh-CN"/>
              </w:rPr>
              <w:t xml:space="preserve">技术能力</w:t>
            </w:r>
            <w:r>
              <w:rPr>
                <w:rFonts w:hint="eastAsia" w:ascii="宋体" w:hAnsi="宋体" w:eastAsia="宋体" w:cs="宋体"/>
                <w:color w:val="auto"/>
                <w:sz w:val="21"/>
                <w:szCs w:val="21"/>
                <w:highlight w:val="none"/>
              </w:rPr>
              <w:t xml:space="preserve">进行评审：</w:t>
            </w:r>
            <w:r/>
          </w:p>
          <w:p>
            <w:pPr>
              <w:ind w:firstLine="420"/>
              <w:keepLines w:val="0"/>
              <w:keepNext/>
              <w:pageBreakBefore w:val="0"/>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pacing w:val="3"/>
                <w:sz w:val="21"/>
                <w:szCs w:val="21"/>
                <w:highlight w:val="none"/>
                <w:lang w:val="en-US" w:eastAsia="zh-CN"/>
              </w:rPr>
              <w:t xml:space="preserve">供应商具有松材线虫病的普查分析能力和判读识别能力，且已在项目中成熟运用，并能详细且有针对性的描述应用平台使用原理及流程的得</w:t>
            </w:r>
            <w:r>
              <w:rPr>
                <w:rFonts w:hint="eastAsia" w:ascii="宋体" w:hAnsi="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lang w:val="en-US" w:eastAsia="zh-CN"/>
              </w:rPr>
              <w:t xml:space="preserve">分。</w:t>
            </w:r>
            <w:r/>
          </w:p>
          <w:p>
            <w:pPr>
              <w:ind w:firstLine="420"/>
              <w:keepLines w:val="0"/>
              <w:keepNext/>
              <w:pageBreakBefore w:val="0"/>
              <w:widowControl/>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pacing w:val="3"/>
                <w:sz w:val="21"/>
                <w:szCs w:val="21"/>
                <w:highlight w:val="none"/>
                <w:lang w:val="en-US" w:eastAsia="zh-CN"/>
              </w:rPr>
              <w:t xml:space="preserve">供应商具有松材线虫病的普查分析能力和判读识别能力，描述应用平台使用原理及流程较详细、针对性较强的得</w:t>
            </w:r>
            <w:r>
              <w:rPr>
                <w:rFonts w:hint="eastAsia" w:ascii="宋体" w:hAnsi="宋体" w:cs="宋体"/>
                <w:color w:val="auto"/>
                <w:spacing w:val="3"/>
                <w:sz w:val="21"/>
                <w:szCs w:val="21"/>
                <w:highlight w:val="none"/>
                <w:lang w:val="en-US" w:eastAsia="zh-CN"/>
              </w:rPr>
              <w:t xml:space="preserve">5</w:t>
            </w:r>
            <w:r>
              <w:rPr>
                <w:rFonts w:hint="eastAsia" w:ascii="宋体" w:hAnsi="宋体" w:eastAsia="宋体" w:cs="宋体"/>
                <w:color w:val="auto"/>
                <w:spacing w:val="3"/>
                <w:sz w:val="21"/>
                <w:szCs w:val="21"/>
                <w:highlight w:val="none"/>
                <w:lang w:val="en-US" w:eastAsia="zh-CN"/>
              </w:rPr>
              <w:t xml:space="preserve">分。</w:t>
            </w:r>
            <w:r/>
          </w:p>
          <w:p>
            <w:pPr>
              <w:ind w:firstLine="420"/>
              <w:keepLines w:val="0"/>
              <w:keepNext/>
              <w:pageBreakBefore w:val="0"/>
              <w:widowControl/>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pacing w:val="3"/>
                <w:sz w:val="21"/>
                <w:szCs w:val="21"/>
                <w:highlight w:val="none"/>
                <w:lang w:val="en-US" w:eastAsia="zh-CN"/>
              </w:rPr>
              <w:t xml:space="preserve">供应商具有松材线虫病的普查分析能力和判读识别能力，描述应用平台使用原理及流程不详细、针对性不强的得</w:t>
            </w:r>
            <w:r>
              <w:rPr>
                <w:rFonts w:hint="eastAsia" w:ascii="宋体" w:hAnsi="宋体" w:cs="宋体"/>
                <w:color w:val="auto"/>
                <w:spacing w:val="3"/>
                <w:sz w:val="21"/>
                <w:szCs w:val="21"/>
                <w:highlight w:val="none"/>
                <w:lang w:val="en-US" w:eastAsia="zh-CN"/>
              </w:rPr>
              <w:t xml:space="preserve">3</w:t>
            </w:r>
            <w:r>
              <w:rPr>
                <w:rFonts w:hint="eastAsia" w:ascii="宋体" w:hAnsi="宋体" w:eastAsia="宋体" w:cs="宋体"/>
                <w:color w:val="auto"/>
                <w:spacing w:val="3"/>
                <w:sz w:val="21"/>
                <w:szCs w:val="21"/>
                <w:highlight w:val="none"/>
                <w:lang w:val="en-US" w:eastAsia="zh-CN"/>
              </w:rPr>
              <w:t xml:space="preserve">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4、未</w:t>
            </w:r>
            <w:r>
              <w:rPr>
                <w:rFonts w:hint="eastAsia" w:ascii="宋体" w:hAnsi="宋体" w:cs="宋体"/>
                <w:color w:val="auto"/>
                <w:sz w:val="21"/>
                <w:szCs w:val="21"/>
                <w:highlight w:val="none"/>
                <w:lang w:val="en-US" w:eastAsia="zh-CN"/>
              </w:rPr>
              <w:t xml:space="preserve">描述</w:t>
            </w:r>
            <w:r>
              <w:rPr>
                <w:rFonts w:hint="eastAsia" w:ascii="宋体" w:hAnsi="宋体" w:eastAsia="宋体" w:cs="宋体"/>
                <w:color w:val="auto"/>
                <w:sz w:val="21"/>
                <w:szCs w:val="21"/>
                <w:highlight w:val="none"/>
              </w:rPr>
              <w:t xml:space="preserve">或</w:t>
            </w:r>
            <w:r>
              <w:rPr>
                <w:rFonts w:hint="eastAsia" w:ascii="宋体" w:hAnsi="宋体" w:cs="宋体"/>
                <w:color w:val="auto"/>
                <w:sz w:val="21"/>
                <w:szCs w:val="21"/>
                <w:highlight w:val="none"/>
                <w:lang w:val="en-US" w:eastAsia="zh-CN"/>
              </w:rPr>
              <w:t xml:space="preserve">描述内容</w:t>
            </w:r>
            <w:r>
              <w:rPr>
                <w:rFonts w:hint="eastAsia" w:ascii="宋体" w:hAnsi="宋体" w:eastAsia="宋体" w:cs="宋体"/>
                <w:color w:val="auto"/>
                <w:sz w:val="21"/>
                <w:szCs w:val="21"/>
                <w:highlight w:val="none"/>
              </w:rPr>
              <w:t xml:space="preserve">与本项目</w:t>
            </w:r>
            <w:r>
              <w:rPr>
                <w:rFonts w:hint="eastAsia" w:ascii="宋体" w:hAnsi="宋体" w:cs="宋体"/>
                <w:color w:val="auto"/>
                <w:sz w:val="21"/>
                <w:szCs w:val="21"/>
                <w:highlight w:val="none"/>
                <w:lang w:val="en-US" w:eastAsia="zh-CN"/>
              </w:rPr>
              <w:t xml:space="preserve">没有针对性的</w:t>
            </w:r>
            <w:r>
              <w:rPr>
                <w:rFonts w:hint="eastAsia" w:ascii="宋体" w:hAnsi="宋体" w:eastAsia="宋体" w:cs="宋体"/>
                <w:color w:val="auto"/>
                <w:sz w:val="21"/>
                <w:szCs w:val="21"/>
                <w:highlight w:val="none"/>
              </w:rPr>
              <w:t xml:space="preserve">，不得分。</w:t>
            </w:r>
            <w:r/>
          </w:p>
        </w:tc>
        <w:tc>
          <w:tcPr>
            <w:tcW w:w="702" w:type="dxa"/>
            <w:vAlign w:val="center"/>
            <w:textDirection w:val="lrTb"/>
            <w:noWrap w:val="false"/>
          </w:tcPr>
          <w:p>
            <w:pPr>
              <w:jc w:val="center"/>
              <w:keepLines w:val="0"/>
              <w:keepNext/>
              <w:pageBreakBefore w:val="0"/>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r>
      <w:tr>
        <w:trPr>
          <w:jc w:val="center"/>
          <w:trHeight w:val="701"/>
        </w:trPr>
        <w:tc>
          <w:tcPr>
            <w:tcW w:w="1220" w:type="dxa"/>
            <w:vAlign w:val="center"/>
            <w:vMerge w:val="restart"/>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1"/>
                <w:sz w:val="21"/>
                <w:szCs w:val="21"/>
                <w:highlight w:val="none"/>
              </w:rPr>
              <w:t xml:space="preserve">岗位职责方</w:t>
            </w:r>
            <w:r>
              <w:rPr>
                <w:rFonts w:hint="eastAsia" w:ascii="宋体" w:hAnsi="宋体" w:eastAsia="宋体" w:cs="宋体"/>
                <w:color w:val="auto"/>
                <w:sz w:val="21"/>
                <w:szCs w:val="21"/>
                <w:highlight w:val="none"/>
              </w:rPr>
              <w:t xml:space="preserve">案</w:t>
            </w:r>
            <w:r/>
          </w:p>
        </w:tc>
        <w:tc>
          <w:tcPr>
            <w:tcW w:w="6789" w:type="dxa"/>
            <w:vAlign w:val="center"/>
            <w:textDirection w:val="lrTb"/>
            <w:noWrap w:val="false"/>
          </w:tcPr>
          <w:p>
            <w:pP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根据供应商提供的响应文件中拟派人员的岗位职责方案进行综合评审：</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岗位职责方案内容完整详细，可行性、实用性、针对性强，得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岗位职责方案内容完整，具有可行性、实用性、针对性，得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3、岗位职责方案内容基本适合采购需求，可行性、实用性、针对性有待改善 ， 得1分；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4、方案不可行或者未提供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c>
          <w:tcPr>
            <w:tcW w:w="702" w:type="dxa"/>
            <w:vAlign w:val="center"/>
            <w:textDirection w:val="lrTb"/>
            <w:noWrap w:val="false"/>
          </w:tcPr>
          <w:p>
            <w:pPr>
              <w:jc w:val="center"/>
              <w:keepLines w:val="0"/>
              <w:keepNext/>
              <w:pageBreakBefore w:val="0"/>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701"/>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质量控制方</w:t>
            </w:r>
            <w:r>
              <w:rPr>
                <w:rFonts w:hint="eastAsia" w:ascii="宋体" w:hAnsi="宋体" w:eastAsia="宋体" w:cs="宋体"/>
                <w:color w:val="auto"/>
                <w:sz w:val="21"/>
                <w:szCs w:val="21"/>
                <w:highlight w:val="none"/>
              </w:rPr>
              <w:t xml:space="preserve">案</w:t>
            </w:r>
            <w:r/>
          </w:p>
        </w:tc>
        <w:tc>
          <w:tcPr>
            <w:tcW w:w="6789" w:type="dxa"/>
            <w:vAlign w:val="center"/>
            <w:textDirection w:val="lrTb"/>
            <w:noWrap w:val="false"/>
          </w:tcPr>
          <w:p>
            <w:pPr>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根据供应商提供的质量控制方案情况，进行综合评审：</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1、质量控制方案内容完整详细，可行性、实用性、针对性强，得 </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2、质量控制方案内容完整，具有可行性、实用性、针对性，得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3、质量控制方案内容基本适合采购需求，可行性、实用性、针对性有待改善 ， 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4、方案不可行或者未提供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c>
          <w:tcPr>
            <w:tcW w:w="702" w:type="dxa"/>
            <w:vAlign w:val="center"/>
            <w:textDirection w:val="lrTb"/>
            <w:noWrap w:val="false"/>
          </w:tcPr>
          <w:p>
            <w:pPr>
              <w:jc w:val="center"/>
              <w:keepLines w:val="0"/>
              <w:keepNext/>
              <w:pageBreakBefore w:val="0"/>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701"/>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进度保障措</w:t>
            </w:r>
            <w:r>
              <w:rPr>
                <w:rFonts w:hint="eastAsia" w:ascii="宋体" w:hAnsi="宋体" w:eastAsia="宋体" w:cs="宋体"/>
                <w:color w:val="auto"/>
                <w:spacing w:val="5"/>
                <w:sz w:val="21"/>
                <w:szCs w:val="21"/>
                <w:highlight w:val="none"/>
              </w:rPr>
              <w:t xml:space="preserve">施方案</w:t>
            </w:r>
            <w:r/>
          </w:p>
        </w:tc>
        <w:tc>
          <w:tcPr>
            <w:tcW w:w="6789" w:type="dxa"/>
            <w:vAlign w:val="center"/>
            <w:textDirection w:val="lrTb"/>
            <w:noWrap w:val="false"/>
          </w:tcPr>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根据供应商提供的进度保障措施方案情况，进行综合评审：</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1、进度保障措施方案内容完整详细，可行性、实用性、针对性强，得5分；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2、进度保障措施方案内容完整，具有可行性、实用性、针对性，得3分；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3、进度保障措施方案内容基本适合采购需求，可行性、实用性、针对性有待改善，得 1 分；</w:t>
            </w:r>
            <w:r/>
          </w:p>
          <w:p>
            <w:pPr>
              <w:ind w:firstLine="420"/>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4、方案不可行或者未提供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tc>
        <w:tc>
          <w:tcPr>
            <w:tcW w:w="702" w:type="dxa"/>
            <w:vAlign w:val="center"/>
            <w:textDirection w:val="lrTb"/>
            <w:noWrap w:val="false"/>
          </w:tcPr>
          <w:p>
            <w:pPr>
              <w:jc w:val="center"/>
              <w:keepLines w:val="0"/>
              <w:keepNext/>
              <w:pageBreakBefore w:val="0"/>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701"/>
        </w:trPr>
        <w:tc>
          <w:tcPr>
            <w:tcW w:w="1220" w:type="dxa"/>
            <w:vAlign w:val="center"/>
            <w:vMerge w:val="restart"/>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left"/>
              <w:keepLines w:val="0"/>
              <w:keepNext/>
              <w:pageBreakBefore w:val="0"/>
              <w:widowControl/>
              <w:rPr>
                <w:rFonts w:hint="eastAsia" w:ascii="宋体" w:hAnsi="宋体" w:eastAsia="宋体" w:cs="宋体"/>
                <w:color w:val="auto"/>
                <w:spacing w:val="6"/>
                <w:sz w:val="21"/>
                <w:szCs w:val="21"/>
                <w:highlight w:val="none"/>
              </w:rPr>
            </w:pPr>
            <w:r>
              <w:rPr>
                <w:rFonts w:hint="eastAsia" w:ascii="宋体" w:hAnsi="宋体" w:eastAsia="宋体" w:cs="宋体"/>
                <w:color w:val="auto"/>
                <w:spacing w:val="7"/>
                <w:sz w:val="21"/>
                <w:szCs w:val="21"/>
                <w:highlight w:val="none"/>
              </w:rPr>
              <w:t xml:space="preserve">应急处理方</w:t>
            </w:r>
            <w:r>
              <w:rPr>
                <w:rFonts w:hint="eastAsia" w:ascii="宋体" w:hAnsi="宋体" w:eastAsia="宋体" w:cs="宋体"/>
                <w:color w:val="auto"/>
                <w:sz w:val="21"/>
                <w:szCs w:val="21"/>
                <w:highlight w:val="none"/>
              </w:rPr>
              <w:t xml:space="preserve">案</w:t>
            </w:r>
            <w:r/>
          </w:p>
        </w:tc>
        <w:tc>
          <w:tcPr>
            <w:tcW w:w="6789" w:type="dxa"/>
            <w:vAlign w:val="center"/>
            <w:textDirection w:val="lrTb"/>
            <w:noWrap w:val="false"/>
          </w:tcPr>
          <w:p>
            <w:pPr>
              <w:pStyle w:val="1132"/>
              <w:ind w:left="535"/>
              <w:jc w:val="left"/>
              <w:spacing w:before="30" w:line="229"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根据供应商提供的突发性问题及特殊紧急事件的应急处理方案进行评审：</w:t>
            </w:r>
            <w:r/>
          </w:p>
          <w:p>
            <w:pPr>
              <w:pStyle w:val="1132"/>
              <w:ind w:left="115" w:right="107" w:firstLine="428"/>
              <w:jc w:val="left"/>
              <w:spacing w:before="26" w:line="239"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1、突发性问题及特殊紧急事件的应急处理方案适合本项目采购需求，完整详细，可行性、实用性、针对性强，得</w:t>
            </w:r>
            <w:r>
              <w:rPr>
                <w:rFonts w:hint="eastAsia" w:ascii="宋体" w:eastAsia="宋体" w:cs="宋体"/>
                <w:color w:val="auto"/>
                <w:spacing w:val="6"/>
                <w:sz w:val="21"/>
                <w:szCs w:val="21"/>
                <w:highlight w:val="none"/>
                <w:lang w:val="en-US" w:eastAsia="zh-CN"/>
              </w:rPr>
              <w:t xml:space="preserve">5</w:t>
            </w:r>
            <w:r>
              <w:rPr>
                <w:rFonts w:hint="eastAsia" w:ascii="宋体" w:hAnsi="宋体" w:eastAsia="宋体" w:cs="宋体"/>
                <w:color w:val="auto"/>
                <w:spacing w:val="6"/>
                <w:sz w:val="21"/>
                <w:szCs w:val="21"/>
                <w:highlight w:val="none"/>
              </w:rPr>
              <w:t xml:space="preserve">分；</w:t>
            </w:r>
            <w:r/>
          </w:p>
          <w:p>
            <w:pPr>
              <w:pStyle w:val="1132"/>
              <w:ind w:left="114" w:right="107" w:firstLine="416"/>
              <w:jc w:val="left"/>
              <w:spacing w:before="26" w:line="239"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2、突发性问题及特殊紧急事件的应急处理方案完整</w:t>
            </w:r>
            <w:r>
              <w:rPr>
                <w:rFonts w:hint="eastAsia" w:ascii="宋体" w:hAnsi="宋体" w:eastAsia="宋体" w:cs="宋体"/>
                <w:color w:val="auto"/>
                <w:spacing w:val="6"/>
                <w:sz w:val="21"/>
                <w:szCs w:val="21"/>
                <w:highlight w:val="none"/>
              </w:rPr>
              <w:t xml:space="preserve">，具有可行性、实用性</w:t>
            </w:r>
            <w:r>
              <w:rPr>
                <w:rFonts w:hint="eastAsia" w:ascii="宋体" w:hAnsi="宋体" w:eastAsia="宋体" w:cs="宋体"/>
                <w:color w:val="auto"/>
                <w:spacing w:val="3"/>
                <w:sz w:val="21"/>
                <w:szCs w:val="21"/>
                <w:highlight w:val="none"/>
              </w:rPr>
              <w:t xml:space="preserve">和针对性，得</w:t>
            </w:r>
            <w:r>
              <w:rPr>
                <w:rFonts w:hint="eastAsia" w:ascii="宋体" w:hAnsi="宋体" w:eastAsia="宋体" w:cs="宋体"/>
                <w:color w:val="auto"/>
                <w:spacing w:val="-35"/>
                <w:sz w:val="21"/>
                <w:szCs w:val="21"/>
                <w:highlight w:val="none"/>
              </w:rPr>
              <w:t xml:space="preserve"> </w:t>
            </w:r>
            <w:r>
              <w:rPr>
                <w:rFonts w:hint="eastAsia" w:ascii="宋体" w:eastAsia="宋体" w:cs="宋体"/>
                <w:color w:val="auto"/>
                <w:spacing w:val="3"/>
                <w:sz w:val="21"/>
                <w:szCs w:val="21"/>
                <w:highlight w:val="none"/>
                <w:lang w:val="en-US" w:eastAsia="zh-CN"/>
              </w:rPr>
              <w:t xml:space="preserve">3</w:t>
            </w:r>
            <w:r>
              <w:rPr>
                <w:rFonts w:hint="eastAsia" w:ascii="宋体" w:hAnsi="宋体" w:eastAsia="宋体" w:cs="宋体"/>
                <w:color w:val="auto"/>
                <w:spacing w:val="3"/>
                <w:sz w:val="21"/>
                <w:szCs w:val="21"/>
                <w:highlight w:val="none"/>
              </w:rPr>
              <w:t xml:space="preserve">分；</w:t>
            </w:r>
            <w:r/>
          </w:p>
          <w:p>
            <w:pPr>
              <w:pStyle w:val="1132"/>
              <w:ind w:left="117" w:right="63" w:firstLine="414"/>
              <w:jc w:val="left"/>
              <w:spacing w:before="22"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3、突发性问题及特殊紧急事件的应急处理方案基本适合本项目采购需求，</w:t>
            </w:r>
            <w:r>
              <w:rPr>
                <w:rFonts w:hint="eastAsia" w:ascii="宋体" w:hAnsi="宋体" w:eastAsia="宋体" w:cs="宋体"/>
                <w:color w:val="auto"/>
                <w:spacing w:val="6"/>
                <w:sz w:val="21"/>
                <w:szCs w:val="21"/>
                <w:highlight w:val="none"/>
              </w:rPr>
              <w:t xml:space="preserve">可行性、实用性、针对性有待改善，得</w:t>
            </w:r>
            <w:r>
              <w:rPr>
                <w:rFonts w:hint="eastAsia" w:ascii="宋体" w:hAnsi="宋体" w:eastAsia="宋体" w:cs="宋体"/>
                <w:color w:val="auto"/>
                <w:spacing w:val="-20"/>
                <w:sz w:val="21"/>
                <w:szCs w:val="21"/>
                <w:highlight w:val="none"/>
              </w:rPr>
              <w:t xml:space="preserve"> </w:t>
            </w:r>
            <w:r>
              <w:rPr>
                <w:rFonts w:hint="eastAsia" w:ascii="宋体" w:hAnsi="宋体" w:eastAsia="宋体" w:cs="宋体"/>
                <w:color w:val="auto"/>
                <w:spacing w:val="6"/>
                <w:sz w:val="21"/>
                <w:szCs w:val="21"/>
                <w:highlight w:val="none"/>
              </w:rPr>
              <w:t xml:space="preserve">1</w:t>
            </w:r>
            <w:r>
              <w:rPr>
                <w:rFonts w:hint="eastAsia" w:ascii="宋体" w:hAnsi="宋体" w:eastAsia="宋体" w:cs="宋体"/>
                <w:color w:val="auto"/>
                <w:spacing w:val="-30"/>
                <w:sz w:val="21"/>
                <w:szCs w:val="21"/>
                <w:highlight w:val="none"/>
              </w:rPr>
              <w:t xml:space="preserve"> </w:t>
            </w:r>
            <w:r>
              <w:rPr>
                <w:rFonts w:hint="eastAsia" w:ascii="宋体" w:hAnsi="宋体" w:eastAsia="宋体" w:cs="宋体"/>
                <w:color w:val="auto"/>
                <w:spacing w:val="6"/>
                <w:sz w:val="21"/>
                <w:szCs w:val="21"/>
                <w:highlight w:val="none"/>
              </w:rPr>
              <w:t xml:space="preserve">分；</w:t>
            </w:r>
            <w:r/>
          </w:p>
          <w:p>
            <w:pPr>
              <w:ind w:firstLine="420"/>
              <w:jc w:val="left"/>
              <w:keepLines w:val="0"/>
              <w:keepNext/>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4、方案不可行或</w:t>
            </w:r>
            <w:r>
              <w:rPr>
                <w:rFonts w:hint="eastAsia" w:ascii="宋体" w:hAnsi="宋体" w:eastAsia="宋体" w:cs="宋体"/>
                <w:color w:val="auto"/>
                <w:sz w:val="21"/>
                <w:szCs w:val="21"/>
                <w:highlight w:val="none"/>
              </w:rPr>
              <w:t xml:space="preserve">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pacing w:val="10"/>
                <w:sz w:val="21"/>
                <w:szCs w:val="21"/>
                <w:highlight w:val="none"/>
              </w:rPr>
              <w:t xml:space="preserve">。</w:t>
            </w:r>
            <w:r/>
          </w:p>
        </w:tc>
        <w:tc>
          <w:tcPr>
            <w:tcW w:w="702" w:type="dxa"/>
            <w:vAlign w:val="center"/>
            <w:textDirection w:val="lrTb"/>
            <w:noWrap w:val="false"/>
          </w:tcPr>
          <w:p>
            <w:pPr>
              <w:jc w:val="center"/>
              <w:keepLines w:val="0"/>
              <w:keepNext/>
              <w:pageBreakBefore w:val="0"/>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701"/>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left"/>
              <w:keepLines w:val="0"/>
              <w:keepNext/>
              <w:pageBreakBefore w:val="0"/>
              <w:widowControl/>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档案管理方案</w:t>
            </w:r>
            <w:r/>
          </w:p>
        </w:tc>
        <w:tc>
          <w:tcPr>
            <w:tcW w:w="6789" w:type="dxa"/>
            <w:vAlign w:val="center"/>
            <w:textDirection w:val="lrTb"/>
            <w:noWrap w:val="false"/>
          </w:tcPr>
          <w:p>
            <w:pPr>
              <w:jc w:val="left"/>
              <w:keepLines w:val="0"/>
              <w:keepNext/>
              <w:pageBreakBefore w:val="0"/>
              <w:widowControl/>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 xml:space="preserve">评标委员会根据采购文件要求及供应商提供的档案管理情况，档案管理组成部分：巡查台账等归档工作、档案管理制度，进行综合评分：</w:t>
            </w:r>
            <w:r/>
          </w:p>
          <w:p>
            <w:pPr>
              <w:jc w:val="left"/>
              <w:keepLines w:val="0"/>
              <w:keepNext/>
              <w:pageBreakBefore w:val="0"/>
              <w:widowControl/>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 xml:space="preserve">1、对本项目特点和难点理解准确，档案管理方案优于本项目采购需求，可行性、实用性、针对性强，得5分；</w:t>
            </w:r>
            <w:r/>
          </w:p>
          <w:p>
            <w:pPr>
              <w:jc w:val="left"/>
              <w:keepLines w:val="0"/>
              <w:keepNext/>
              <w:pageBreakBefore w:val="0"/>
              <w:widowControl/>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 xml:space="preserve">2、对本项目特点和难点理解基本准确，档案管理方案适合本项目采购需求，完整详细，具有可行性、实用性和针对性，得3分；</w:t>
            </w:r>
            <w:r/>
          </w:p>
          <w:p>
            <w:pPr>
              <w:jc w:val="left"/>
              <w:keepLines w:val="0"/>
              <w:keepNext/>
              <w:pageBreakBefore w:val="0"/>
              <w:widowControl/>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lang w:val="en-US" w:eastAsia="zh-CN"/>
              </w:rPr>
              <w:t xml:space="preserve">3、对本项目特点和难点理解有待提升，档案管理方案基本适合本项目采购需求，可行性、实用性和针对性有待改善，得1分；</w:t>
            </w:r>
            <w:r/>
          </w:p>
          <w:p>
            <w:pPr>
              <w:jc w:val="left"/>
              <w:keepLines w:val="0"/>
              <w:keepNext/>
              <w:pageBreakBefore w:val="0"/>
              <w:widowControl/>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lang w:val="en-US" w:eastAsia="zh-CN"/>
              </w:rPr>
              <w:t xml:space="preserve">4、档案管理方案不可行或者未提供不得分。</w:t>
            </w:r>
            <w:r/>
          </w:p>
        </w:tc>
        <w:tc>
          <w:tcPr>
            <w:tcW w:w="702" w:type="dxa"/>
            <w:vAlign w:val="center"/>
            <w:textDirection w:val="lrTb"/>
            <w:noWrap w:val="false"/>
          </w:tcPr>
          <w:p>
            <w:pPr>
              <w:jc w:val="center"/>
              <w:keepLines w:val="0"/>
              <w:keepNext/>
              <w:pageBreakBefore w:val="0"/>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r>
      <w:tr>
        <w:trPr>
          <w:jc w:val="center"/>
          <w:trHeight w:val="1102"/>
        </w:trPr>
        <w:tc>
          <w:tcPr>
            <w:tcW w:w="1220" w:type="dxa"/>
            <w:vAlign w:val="center"/>
            <w:vMerge w:val="restart"/>
            <w:textDirection w:val="lrTb"/>
            <w:noWrap w:val="false"/>
          </w:tcPr>
          <w:p>
            <w:pP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商务部分（</w:t>
            </w: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c>
          <w:tcPr>
            <w:shd w:val="clear" w:color="auto" w:fill="auto"/>
            <w:tcW w:w="735" w:type="dxa"/>
            <w:vAlign w:val="center"/>
            <w:textDirection w:val="lrTb"/>
            <w:noWrap w:val="false"/>
          </w:tcPr>
          <w:p>
            <w:pPr>
              <w:jc w:val="left"/>
              <w:keepLines w:val="0"/>
              <w:keepNext/>
              <w:pageBreakBefore w:val="0"/>
              <w:widowControl/>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Cs w:val="21"/>
                <w:highlight w:val="none"/>
              </w:rPr>
              <w:t xml:space="preserve">业绩</w:t>
            </w:r>
            <w:r/>
          </w:p>
        </w:tc>
        <w:tc>
          <w:tcPr>
            <w:shd w:val="clear" w:color="auto" w:fill="auto"/>
            <w:tcW w:w="6789" w:type="dxa"/>
            <w:vAlign w:val="center"/>
            <w:textDirection w:val="lrTb"/>
            <w:noWrap w:val="false"/>
          </w:tcPr>
          <w:p>
            <w:pPr>
              <w:pStyle w:val="1099"/>
              <w:ind w:firstLine="420"/>
              <w:jc w:val="left"/>
              <w:keepLines w:val="0"/>
              <w:keepNext/>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供应商具有自2022年01月01日以来的类似业绩（松材线虫病普查或验收或防控类）服务业绩的，每有1个得3分，最高15分。需提供业绩合同原件扫描件</w:t>
            </w:r>
            <w:r>
              <w:rPr>
                <w:rFonts w:hint="eastAsia" w:ascii="宋体" w:hAnsi="宋体" w:cs="宋体"/>
                <w:color w:val="auto"/>
                <w:sz w:val="21"/>
                <w:szCs w:val="21"/>
                <w:highlight w:val="none"/>
                <w:lang w:val="en-US" w:eastAsia="zh-CN" w:bidi="ar-SA"/>
              </w:rPr>
              <w:t xml:space="preserve">（业绩认定时间以合同签订日期为准），</w:t>
            </w:r>
            <w:r>
              <w:rPr>
                <w:rFonts w:hint="eastAsia" w:ascii="宋体" w:hAnsi="宋体" w:eastAsia="宋体" w:cs="宋体"/>
                <w:color w:val="auto"/>
                <w:sz w:val="21"/>
                <w:szCs w:val="21"/>
                <w:highlight w:val="none"/>
                <w:lang w:val="en-US" w:eastAsia="zh-CN" w:bidi="ar-SA"/>
              </w:rPr>
              <w:t xml:space="preserve">否则不得分。</w:t>
            </w:r>
            <w:r/>
          </w:p>
        </w:tc>
        <w:tc>
          <w:tcPr>
            <w:shd w:val="clear" w:color="auto" w:fill="auto"/>
            <w:tcW w:w="702" w:type="dxa"/>
            <w:vAlign w:val="center"/>
            <w:textDirection w:val="lrTb"/>
            <w:noWrap w:val="false"/>
          </w:tcPr>
          <w:p>
            <w:pPr>
              <w:jc w:val="center"/>
              <w:keepLines w:val="0"/>
              <w:keepNext/>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15</w:t>
            </w:r>
            <w:r/>
          </w:p>
        </w:tc>
      </w:tr>
      <w:tr>
        <w:trPr>
          <w:jc w:val="center"/>
          <w:trHeight w:val="658"/>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735" w:type="dxa"/>
            <w:vAlign w:val="center"/>
            <w:textDirection w:val="lrTb"/>
            <w:noWrap w:val="false"/>
          </w:tcPr>
          <w:p>
            <w:pPr>
              <w:jc w:val="center"/>
              <w:keepLines w:val="0"/>
              <w:keepNext/>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团队</w:t>
            </w:r>
            <w:r>
              <w:rPr>
                <w:rFonts w:hint="eastAsia" w:ascii="宋体" w:hAnsi="宋体" w:eastAsia="宋体" w:cs="宋体"/>
                <w:color w:val="auto"/>
                <w:szCs w:val="21"/>
                <w:highlight w:val="none"/>
              </w:rPr>
              <w:t xml:space="preserve">人员</w:t>
            </w:r>
            <w:r/>
          </w:p>
        </w:tc>
        <w:tc>
          <w:tcPr>
            <w:shd w:val="clear" w:color="auto" w:fill="auto"/>
            <w:tcW w:w="6789" w:type="dxa"/>
            <w:vAlign w:val="center"/>
            <w:textDirection w:val="lrTb"/>
            <w:noWrap w:val="false"/>
          </w:tcPr>
          <w:p>
            <w:pPr>
              <w:ind w:firstLine="420"/>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1、供应商拟派本项目的负责人具有林业或森保类专业中级工程师的得，得1分；具有高级工程师的得2分。本项最高得2分。</w:t>
            </w:r>
            <w:r/>
          </w:p>
          <w:p>
            <w:pPr>
              <w:numPr>
                <w:ilvl w:val="0"/>
                <w:numId w:val="0"/>
              </w:numPr>
              <w:ind w:firstLine="420"/>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供应商拟投入到本项目的人员中具有无人机驾驶员证书的，每提供一人得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分的，最高得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numPr>
                <w:ilvl w:val="0"/>
                <w:numId w:val="0"/>
              </w:numPr>
              <w:ind w:firstLine="420"/>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供应商拟投入到本项目的人员中持有林业有害生物防治员证书的，每提供一人得2分的，最高得10分；</w:t>
            </w:r>
            <w:r/>
          </w:p>
          <w:p>
            <w:pPr>
              <w:numPr>
                <w:ilvl w:val="0"/>
                <w:numId w:val="0"/>
              </w:numPr>
              <w:keepLines w:val="0"/>
              <w:keepNext/>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备注：提供以上人员相关证书原件扫描件，未提供或未按要求提供的不得分。</w:t>
            </w:r>
            <w:r/>
          </w:p>
        </w:tc>
        <w:tc>
          <w:tcPr>
            <w:shd w:val="clear" w:color="auto" w:fill="auto"/>
            <w:tcW w:w="702" w:type="dxa"/>
            <w:vAlign w:val="center"/>
            <w:textDirection w:val="lrTb"/>
            <w:noWrap w:val="false"/>
          </w:tcPr>
          <w:p>
            <w:pPr>
              <w:jc w:val="center"/>
              <w:keepLines w:val="0"/>
              <w:keepNext/>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15</w:t>
            </w:r>
            <w:r/>
          </w:p>
        </w:tc>
      </w:tr>
      <w:tr>
        <w:trPr>
          <w:jc w:val="center"/>
          <w:trHeight w:val="2272"/>
        </w:trPr>
        <w:tc>
          <w:tcPr>
            <w:tcW w:w="1220" w:type="dxa"/>
            <w:vAlign w:val="center"/>
            <w:vMerge w:val="continue"/>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jc w:val="center"/>
              <w:keepLines w:val="0"/>
              <w:keepNext/>
              <w:pageBreakBefore w:val="0"/>
              <w:widowControl/>
              <w:rPr>
                <w:rFonts w:hint="eastAsia" w:ascii="宋体" w:hAnsi="宋体" w:eastAsia="宋体" w:cs="宋体"/>
                <w:color w:val="auto"/>
                <w:szCs w:val="21"/>
                <w:highlight w:val="none"/>
              </w:rPr>
            </w:pPr>
            <w:r>
              <w:rPr>
                <w:rFonts w:hint="eastAsia" w:ascii="宋体" w:hAnsi="宋体" w:eastAsia="宋体" w:cs="宋体"/>
                <w:color w:val="auto"/>
                <w:spacing w:val="5"/>
                <w:sz w:val="21"/>
                <w:szCs w:val="21"/>
                <w:highlight w:val="none"/>
              </w:rPr>
              <w:t xml:space="preserve">机械设备配备</w:t>
            </w:r>
            <w:r/>
          </w:p>
        </w:tc>
        <w:tc>
          <w:tcPr>
            <w:shd w:val="clear" w:color="auto" w:fill="auto"/>
            <w:tcW w:w="6789" w:type="dxa"/>
            <w:vAlign w:val="center"/>
            <w:textDirection w:val="lrTb"/>
            <w:noWrap w:val="false"/>
          </w:tcPr>
          <w:p>
            <w:pPr>
              <w:numPr>
                <w:ilvl w:val="0"/>
                <w:numId w:val="12"/>
              </w:numPr>
              <w:ind w:firstLine="420"/>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拥有粉碎机的每台得1分，最高得2分；</w:t>
            </w:r>
            <w:r/>
          </w:p>
          <w:p>
            <w:pPr>
              <w:numPr>
                <w:ilvl w:val="0"/>
                <w:numId w:val="12"/>
              </w:numPr>
              <w:ind w:firstLine="420"/>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供应商针对本项目实施拟投入</w:t>
            </w:r>
            <w:r>
              <w:rPr>
                <w:rFonts w:hint="eastAsia" w:ascii="宋体" w:hAnsi="宋体" w:cs="宋体"/>
                <w:color w:val="auto"/>
                <w:szCs w:val="21"/>
                <w:highlight w:val="none"/>
                <w:lang w:val="en-US" w:eastAsia="zh-CN"/>
              </w:rPr>
              <w:t xml:space="preserve">无人机每提供1台得1分，最高得4分。</w:t>
            </w:r>
            <w:r/>
          </w:p>
          <w:p>
            <w:pPr>
              <w:ind w:firstLine="420"/>
              <w:keepLines w:val="0"/>
              <w:keepNext/>
              <w:pageBreakBefore w:val="0"/>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供应商针对本项目实施拟投入的打孔机达到40台（含）以上的得3分，达到60台（含）以上得5分。</w:t>
            </w:r>
            <w:r/>
          </w:p>
          <w:p>
            <w:pPr>
              <w:ind w:firstLine="420"/>
              <w:keepLines w:val="0"/>
              <w:keepNext/>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注：设备产权性质是自有，需提供发票（购买方须为供应商）；设备产权性质是租赁，需提供租赁合同、租赁费用发票及相关证明材料，否则不得分。</w:t>
            </w:r>
            <w:r/>
          </w:p>
        </w:tc>
        <w:tc>
          <w:tcPr>
            <w:shd w:val="clear" w:color="auto" w:fill="auto"/>
            <w:tcW w:w="702" w:type="dxa"/>
            <w:vAlign w:val="center"/>
            <w:textDirection w:val="lrTb"/>
            <w:noWrap w:val="false"/>
          </w:tcPr>
          <w:p>
            <w:pPr>
              <w:jc w:val="center"/>
              <w:keepLines w:val="0"/>
              <w:keepNext/>
              <w:pageBreakBefore w:val="0"/>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r>
      <w:tr>
        <w:trPr>
          <w:jc w:val="center"/>
          <w:trHeight w:val="1700"/>
        </w:trPr>
        <w:tc>
          <w:tcPr>
            <w:tcW w:w="1220" w:type="dxa"/>
            <w:vAlign w:val="center"/>
            <w:textDirection w:val="lrTb"/>
            <w:noWrap w:val="false"/>
          </w:tcPr>
          <w:p>
            <w:pPr>
              <w:ind w:firstLine="420"/>
              <w:jc w:val="center"/>
              <w:keepLines w:val="0"/>
              <w:keepNext/>
              <w:pageBreakBefore w:val="0"/>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 w:type="dxa"/>
            <w:vAlign w:val="center"/>
            <w:textDirection w:val="lrTb"/>
            <w:noWrap w:val="false"/>
          </w:tcPr>
          <w:p>
            <w:pPr>
              <w:pStyle w:val="881"/>
              <w:ind w:right="0"/>
              <w:jc w:val="both"/>
              <w:keepLines w:val="0"/>
              <w:keepNext w:val="0"/>
              <w:spacing w:before="180" w:beforeAutospacing="0" w:after="0" w:afterAutospacing="0" w:line="22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企业资信</w:t>
            </w:r>
            <w:r/>
          </w:p>
          <w:p>
            <w:pPr>
              <w:jc w:val="center"/>
              <w:keepLines w:val="0"/>
              <w:keepNext/>
              <w:pageBreakBefore w:val="0"/>
              <w:widowControl/>
              <w:rPr>
                <w:rFonts w:hint="eastAsia" w:ascii="宋体" w:hAnsi="宋体" w:eastAsia="宋体" w:cs="宋体"/>
                <w:b/>
                <w:bCs/>
                <w:color w:val="auto"/>
                <w:spacing w:val="5"/>
                <w:sz w:val="21"/>
                <w:szCs w:val="21"/>
                <w:highlight w:val="none"/>
              </w:rPr>
            </w:pPr>
            <w:r>
              <w:rPr>
                <w:rFonts w:hint="eastAsia" w:ascii="宋体" w:hAnsi="宋体" w:eastAsia="宋体" w:cs="宋体"/>
                <w:b/>
                <w:bCs/>
                <w:color w:val="auto"/>
                <w:spacing w:val="5"/>
                <w:sz w:val="21"/>
                <w:szCs w:val="21"/>
                <w:highlight w:val="none"/>
              </w:rPr>
            </w:r>
            <w:r/>
          </w:p>
        </w:tc>
        <w:tc>
          <w:tcPr>
            <w:shd w:val="clear" w:color="auto" w:fill="auto"/>
            <w:tcW w:w="6789" w:type="dxa"/>
            <w:vAlign w:val="center"/>
            <w:textDirection w:val="lrTb"/>
            <w:noWrap w:val="false"/>
          </w:tcPr>
          <w:p>
            <w:pPr>
              <w:pStyle w:val="881"/>
              <w:ind w:left="0" w:right="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供应商具有质量管理体系认证证书、职业健康安全管理体系认证证书和环境管理体系认证证书的，每提供一个证书得1分，本项最高得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pStyle w:val="881"/>
              <w:jc w:val="both"/>
              <w:keepLines w:val="0"/>
              <w:keepNext w:val="0"/>
              <w:spacing w:before="0" w:beforeAutospacing="0" w:after="0" w:afterAutospacing="0" w:line="360" w:lineRule="auto"/>
              <w:widowControl/>
              <w:rPr>
                <w:rFonts w:hint="eastAsia" w:ascii="宋体" w:hAnsi="宋体" w:eastAsia="宋体" w:cs="宋体"/>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响应文件中提供</w:t>
            </w:r>
            <w:r>
              <w:rPr>
                <w:rFonts w:hint="eastAsia" w:cs="宋体"/>
                <w:color w:val="auto"/>
                <w:sz w:val="21"/>
                <w:szCs w:val="21"/>
                <w:highlight w:val="none"/>
                <w:lang w:val="en-US" w:eastAsia="zh-CN"/>
              </w:rPr>
              <w:t xml:space="preserve">有效</w:t>
            </w:r>
            <w:r>
              <w:rPr>
                <w:rFonts w:hint="eastAsia" w:ascii="宋体" w:hAnsi="宋体" w:eastAsia="宋体" w:cs="宋体"/>
                <w:color w:val="auto"/>
                <w:sz w:val="21"/>
                <w:szCs w:val="21"/>
                <w:highlight w:val="none"/>
              </w:rPr>
              <w:t xml:space="preserve">证书原件扫描件</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w:t>
            </w:r>
            <w:r>
              <w:rPr>
                <w:rFonts w:hint="eastAsia" w:cs="宋体"/>
                <w:color w:val="auto"/>
                <w:sz w:val="21"/>
                <w:szCs w:val="21"/>
                <w:highlight w:val="none"/>
                <w:lang w:val="en-US" w:eastAsia="zh-CN"/>
              </w:rPr>
              <w:t xml:space="preserve">按要求</w:t>
            </w:r>
            <w:r>
              <w:rPr>
                <w:rFonts w:hint="eastAsia" w:ascii="宋体" w:hAnsi="宋体" w:eastAsia="宋体" w:cs="宋体"/>
                <w:color w:val="auto"/>
                <w:sz w:val="21"/>
                <w:szCs w:val="21"/>
                <w:highlight w:val="none"/>
              </w:rPr>
              <w:t xml:space="preserve">提供不得分。</w:t>
            </w:r>
            <w:r/>
          </w:p>
        </w:tc>
        <w:tc>
          <w:tcPr>
            <w:shd w:val="clear" w:color="auto" w:fill="auto"/>
            <w:tcW w:w="702" w:type="dxa"/>
            <w:vAlign w:val="center"/>
            <w:textDirection w:val="lrTb"/>
            <w:noWrap w:val="false"/>
          </w:tcPr>
          <w:p>
            <w:pPr>
              <w:jc w:val="center"/>
              <w:keepLines w:val="0"/>
              <w:keepNext/>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r>
    </w:tbl>
    <w:p>
      <w:pPr>
        <w:pStyle w:val="1076"/>
        <w:ind w:firstLine="482"/>
        <w:keepLines w:val="0"/>
        <w:keepNext/>
        <w:pageBreakBefore w:val="0"/>
        <w:spacing w:line="360" w:lineRule="auto"/>
        <w:widowControl/>
        <w:tabs>
          <w:tab w:val="left" w:pos="72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bidi="ar"/>
        </w:rPr>
        <w:t xml:space="preserve">响应</w:t>
      </w:r>
      <w:r>
        <w:rPr>
          <w:rFonts w:hint="eastAsia" w:ascii="宋体" w:hAnsi="宋体" w:eastAsia="宋体" w:cs="宋体"/>
          <w:b/>
          <w:bCs/>
          <w:color w:val="auto"/>
          <w:sz w:val="24"/>
          <w:szCs w:val="24"/>
          <w:highlight w:val="none"/>
          <w:lang w:bidi="ar"/>
        </w:rPr>
        <w:t xml:space="preserve">文件中提供上述原件扫描件等证明资料，</w:t>
      </w:r>
      <w:r>
        <w:rPr>
          <w:rFonts w:hint="eastAsia" w:ascii="宋体" w:hAnsi="宋体" w:eastAsia="宋体" w:cs="宋体"/>
          <w:b/>
          <w:color w:val="auto"/>
          <w:sz w:val="24"/>
          <w:szCs w:val="24"/>
          <w:highlight w:val="none"/>
        </w:rPr>
        <w:t xml:space="preserve">提供的证明材料必须能清晰反映</w:t>
      </w:r>
      <w:r>
        <w:rPr>
          <w:rFonts w:hint="eastAsia" w:ascii="宋体" w:hAnsi="宋体" w:eastAsia="宋体" w:cs="宋体"/>
          <w:b/>
          <w:color w:val="auto"/>
          <w:sz w:val="24"/>
          <w:szCs w:val="24"/>
          <w:highlight w:val="none"/>
          <w:lang w:val="en-US" w:eastAsia="zh-CN"/>
        </w:rPr>
        <w:t xml:space="preserve">供应商</w:t>
      </w:r>
      <w:r>
        <w:rPr>
          <w:rFonts w:hint="eastAsia" w:ascii="宋体" w:hAnsi="宋体" w:eastAsia="宋体" w:cs="宋体"/>
          <w:b/>
          <w:color w:val="auto"/>
          <w:sz w:val="24"/>
          <w:szCs w:val="24"/>
          <w:highlight w:val="none"/>
        </w:rPr>
        <w:t xml:space="preserve">名称、时间等需要明确的内容。没有明确、缺项、含糊不清的不予计分。</w:t>
      </w:r>
      <w:r/>
    </w:p>
    <w:p>
      <w:pPr>
        <w:pStyle w:val="1076"/>
        <w:ind w:firstLine="482"/>
        <w:keepLines w:val="0"/>
        <w:keepNext/>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、成交标准：</w:t>
      </w:r>
      <w:r/>
    </w:p>
    <w:p>
      <w:pPr>
        <w:pStyle w:val="1076"/>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rPr>
          <w:rFonts w:hint="eastAsia" w:ascii="宋体" w:hAnsi="宋体" w:eastAsia="宋体" w:cs="宋体"/>
          <w:color w:val="auto"/>
          <w:sz w:val="24"/>
          <w:szCs w:val="24"/>
          <w:highlight w:val="none"/>
          <w:lang w:eastAsia="zh-CN"/>
        </w:rPr>
        <w:t xml:space="preserve">。</w:t>
      </w:r>
      <w:r/>
    </w:p>
    <w:p>
      <w:pPr>
        <w:pStyle w:val="1076"/>
        <w:ind w:firstLine="480"/>
        <w:keepLines w:val="0"/>
        <w:keepNext/>
        <w:pageBreakBefore w:val="0"/>
        <w:spacing w:line="360" w:lineRule="auto"/>
        <w:widowControl/>
        <w:tabs>
          <w:tab w:val="left" w:pos="72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keepLines w:val="0"/>
        <w:keepNext/>
        <w:pageBreakBefore w:val="0"/>
        <w:spacing w:line="360" w:lineRule="auto"/>
        <w:widowControl/>
        <w:rPr>
          <w:rFonts w:ascii="黑体" w:eastAsia="黑体"/>
          <w:color w:val="auto"/>
          <w:sz w:val="44"/>
          <w:szCs w:val="44"/>
          <w:highlight w:val="none"/>
        </w:rPr>
        <w:outlineLvl w:val="0"/>
      </w:pPr>
      <w:r>
        <w:rPr>
          <w:rFonts w:hint="eastAsia" w:ascii="宋体" w:hAnsi="宋体" w:eastAsia="宋体" w:cs="宋体"/>
          <w:b/>
          <w:color w:val="auto"/>
          <w:sz w:val="36"/>
          <w:szCs w:val="36"/>
          <w:highlight w:val="none"/>
        </w:rPr>
        <w:br w:type="page" w:clear="all"/>
      </w:r>
      <w:bookmarkStart w:id="189" w:name="_Toc465856616"/>
      <w:r/>
      <w:bookmarkStart w:id="190" w:name="_Toc27402"/>
      <w:r/>
      <w:bookmarkStart w:id="191" w:name="_Toc3613"/>
      <w:r/>
      <w:bookmarkStart w:id="192" w:name="_Toc272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w:t>
      </w:r>
      <w:bookmarkEnd w:id="186"/>
      <w:r/>
      <w:bookmarkEnd w:id="187"/>
      <w:r/>
      <w:bookmarkEnd w:id="188"/>
      <w:r/>
      <w:bookmarkEnd w:id="189"/>
      <w:r/>
      <w:bookmarkEnd w:id="190"/>
      <w:r/>
      <w:bookmarkEnd w:id="191"/>
      <w:r/>
      <w:bookmarkEnd w:id="192"/>
      <w:r>
        <w:rPr>
          <w:rFonts w:hint="eastAsia" w:ascii="黑体" w:eastAsia="黑体"/>
          <w:color w:val="auto"/>
          <w:sz w:val="44"/>
          <w:szCs w:val="44"/>
          <w:highlight w:val="none"/>
        </w:rPr>
        <w:t xml:space="preserve">竞争性磋商响应文件格式</w:t>
      </w:r>
      <w:r/>
    </w:p>
    <w:p>
      <w:pPr>
        <w:jc w:val="center"/>
        <w:keepLines w:val="0"/>
        <w:keepNext/>
        <w:pageBreakBefore w:val="0"/>
        <w:spacing w:line="360" w:lineRule="auto"/>
        <w:widowControl/>
        <w:rPr>
          <w:rFonts w:ascii="宋体" w:hAnsi="宋体"/>
          <w:b/>
          <w:color w:val="auto"/>
          <w:sz w:val="52"/>
          <w:szCs w:val="52"/>
          <w:highlight w:val="none"/>
        </w:rPr>
      </w:pPr>
      <w:r>
        <w:rPr>
          <w:rFonts w:ascii="宋体" w:hAnsi="宋体"/>
          <w:b/>
          <w:color w:val="auto"/>
          <w:sz w:val="52"/>
          <w:szCs w:val="52"/>
          <w:highlight w:val="none"/>
        </w:rPr>
      </w:r>
      <w:r/>
    </w:p>
    <w:p>
      <w:pPr>
        <w:jc w:val="both"/>
        <w:keepLines w:val="0"/>
        <w:keepNext/>
        <w:pageBreakBefore w:val="0"/>
        <w:spacing w:line="360" w:lineRule="auto"/>
        <w:widowControl/>
        <w:rPr>
          <w:rFonts w:hint="eastAsia" w:ascii="宋体" w:hAnsi="宋体"/>
          <w:b/>
          <w:color w:val="auto"/>
          <w:sz w:val="72"/>
          <w:szCs w:val="21"/>
          <w:highlight w:val="none"/>
        </w:rPr>
      </w:pPr>
      <w:r>
        <w:rPr>
          <w:rFonts w:hint="eastAsia" w:ascii="宋体" w:hAnsi="宋体"/>
          <w:b/>
          <w:color w:val="auto"/>
          <w:sz w:val="72"/>
          <w:szCs w:val="21"/>
          <w:highlight w:val="none"/>
        </w:rPr>
      </w:r>
      <w:r/>
    </w:p>
    <w:p>
      <w:pPr>
        <w:ind w:right="0"/>
        <w:jc w:val="center"/>
        <w:keepLines w:val="0"/>
        <w:keepNext/>
        <w:pageBreakBefore w:val="0"/>
        <w:spacing w:line="360" w:lineRule="auto"/>
        <w:widowControl/>
        <w:rPr>
          <w:rFonts w:hint="eastAsia" w:ascii="宋体" w:hAnsi="宋体" w:eastAsia="宋体" w:cs="宋体"/>
          <w:b/>
          <w:color w:val="auto"/>
          <w:sz w:val="72"/>
          <w:szCs w:val="21"/>
          <w:highlight w:val="none"/>
        </w:rPr>
        <w:outlineLvl w:val="9"/>
      </w:pPr>
      <w:r/>
      <w:bookmarkStart w:id="193" w:name="_Toc6410"/>
      <w:r/>
      <w:bookmarkStart w:id="194" w:name="_Toc5501"/>
      <w:r/>
      <w:bookmarkStart w:id="195" w:name="_Toc25730"/>
      <w:r/>
      <w:bookmarkStart w:id="196" w:name="_Toc9810"/>
      <w:r/>
      <w:bookmarkStart w:id="197" w:name="_Toc28003"/>
      <w:r>
        <w:rPr>
          <w:rFonts w:hint="eastAsia" w:ascii="宋体" w:hAnsi="宋体" w:eastAsia="宋体" w:cs="宋体"/>
          <w:b/>
          <w:color w:val="auto"/>
          <w:sz w:val="72"/>
          <w:szCs w:val="21"/>
          <w:highlight w:val="none"/>
        </w:rPr>
        <w:t xml:space="preserve">竞争性磋商响应文件</w:t>
      </w:r>
      <w:bookmarkEnd w:id="193"/>
      <w:r/>
      <w:bookmarkEnd w:id="194"/>
      <w:r/>
      <w:bookmarkEnd w:id="195"/>
      <w:r/>
      <w:bookmarkEnd w:id="196"/>
      <w:r/>
      <w:bookmarkEnd w:id="197"/>
      <w:r/>
      <w:r/>
    </w:p>
    <w:p>
      <w:pPr>
        <w:keepLines w:val="0"/>
        <w:keepNext/>
        <w:pageBreakBefore w:val="0"/>
        <w:spacing w:line="360" w:lineRule="auto"/>
        <w:widowControl/>
        <w:rPr>
          <w:rFonts w:ascii="宋体" w:hAnsi="宋体"/>
          <w:b/>
          <w:color w:val="auto"/>
          <w:sz w:val="36"/>
          <w:szCs w:val="21"/>
          <w:highlight w:val="none"/>
        </w:rPr>
      </w:pPr>
      <w:r>
        <w:rPr>
          <w:rFonts w:ascii="宋体" w:hAnsi="宋体"/>
          <w:b/>
          <w:color w:val="auto"/>
          <w:sz w:val="36"/>
          <w:szCs w:val="21"/>
          <w:highlight w:val="none"/>
        </w:rPr>
      </w:r>
      <w:r/>
    </w:p>
    <w:p>
      <w:pPr>
        <w:pStyle w:val="1062"/>
        <w:keepLines w:val="0"/>
        <w:keepNext/>
        <w:pageBreakBefore w:val="0"/>
        <w:widowControl/>
        <w:rPr>
          <w:rFonts w:ascii="宋体" w:hAnsi="宋体"/>
          <w:b/>
          <w:color w:val="auto"/>
          <w:sz w:val="36"/>
          <w:szCs w:val="21"/>
          <w:highlight w:val="none"/>
        </w:rPr>
      </w:pPr>
      <w:r>
        <w:rPr>
          <w:rFonts w:ascii="宋体" w:hAnsi="宋体"/>
          <w:b/>
          <w:color w:val="auto"/>
          <w:sz w:val="36"/>
          <w:szCs w:val="21"/>
          <w:highlight w:val="none"/>
        </w:rPr>
      </w:r>
      <w:r/>
    </w:p>
    <w:p>
      <w:pPr>
        <w:pStyle w:val="1062"/>
        <w:keepLines w:val="0"/>
        <w:keepNext/>
        <w:pageBreakBefore w:val="0"/>
        <w:widowControl/>
        <w:rPr>
          <w:rFonts w:ascii="宋体" w:hAnsi="宋体"/>
          <w:b/>
          <w:color w:val="auto"/>
          <w:sz w:val="36"/>
          <w:szCs w:val="21"/>
          <w:highlight w:val="none"/>
        </w:rPr>
      </w:pPr>
      <w:r>
        <w:rPr>
          <w:rFonts w:ascii="宋体" w:hAnsi="宋体"/>
          <w:b/>
          <w:color w:val="auto"/>
          <w:sz w:val="36"/>
          <w:szCs w:val="21"/>
          <w:highlight w:val="none"/>
        </w:rPr>
      </w:r>
      <w:r/>
    </w:p>
    <w:p>
      <w:pPr>
        <w:ind w:firstLine="1054"/>
        <w:keepLines w:val="0"/>
        <w:keepNext/>
        <w:pageBreakBefore w:val="0"/>
        <w:spacing w:line="480" w:lineRule="auto"/>
        <w:shd w:val="clear" w:color="auto" w:fill="auto"/>
        <w:widowControl/>
        <w:rPr>
          <w:rFonts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lang w:val="en-US" w:eastAsia="zh-CN"/>
        </w:rPr>
        <w:t xml:space="preserve">项目</w:t>
      </w:r>
      <w:r>
        <w:rPr>
          <w:rFonts w:hint="eastAsia" w:ascii="宋体" w:hAnsi="宋体"/>
          <w:b/>
          <w:i w:val="0"/>
          <w:iCs w:val="0"/>
          <w:color w:val="auto"/>
          <w:sz w:val="30"/>
          <w:szCs w:val="30"/>
          <w:highlight w:val="none"/>
        </w:rPr>
        <w:t xml:space="preserve">名称：</w:t>
      </w:r>
      <w:r>
        <w:rPr>
          <w:rFonts w:hint="eastAsia" w:ascii="宋体" w:hAnsi="宋体"/>
          <w:b/>
          <w:i w:val="0"/>
          <w:iCs w:val="0"/>
          <w:color w:val="auto"/>
          <w:sz w:val="30"/>
          <w:szCs w:val="30"/>
          <w:highlight w:val="none"/>
          <w:u w:val="single"/>
          <w:lang w:val="en-US" w:eastAsia="zh-CN"/>
        </w:rPr>
        <w:t xml:space="preserve">                                      </w:t>
      </w:r>
      <w:r/>
    </w:p>
    <w:p>
      <w:pPr>
        <w:ind w:firstLine="1054"/>
        <w:keepLines w:val="0"/>
        <w:keepNext/>
        <w:pageBreakBefore w:val="0"/>
        <w:spacing w:line="480" w:lineRule="auto"/>
        <w:shd w:val="clear" w:color="auto" w:fill="auto"/>
        <w:widowControl/>
        <w:rPr>
          <w:rFonts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lang w:val="en-US" w:eastAsia="zh-CN"/>
        </w:rPr>
        <w:t xml:space="preserve">项目</w:t>
      </w:r>
      <w:r>
        <w:rPr>
          <w:rFonts w:hint="eastAsia" w:ascii="宋体" w:hAnsi="宋体"/>
          <w:b/>
          <w:i w:val="0"/>
          <w:iCs w:val="0"/>
          <w:color w:val="auto"/>
          <w:sz w:val="30"/>
          <w:szCs w:val="30"/>
          <w:highlight w:val="none"/>
        </w:rPr>
        <w:t xml:space="preserve">编号：</w:t>
      </w:r>
      <w:r>
        <w:rPr>
          <w:rFonts w:hint="eastAsia" w:ascii="宋体" w:hAnsi="宋体"/>
          <w:b/>
          <w:i w:val="0"/>
          <w:iCs w:val="0"/>
          <w:color w:val="auto"/>
          <w:sz w:val="30"/>
          <w:szCs w:val="30"/>
          <w:highlight w:val="none"/>
          <w:u w:val="single"/>
          <w:lang w:val="en-US" w:eastAsia="zh-CN"/>
        </w:rPr>
        <w:t xml:space="preserve">                                      </w:t>
      </w:r>
      <w:r/>
    </w:p>
    <w:p>
      <w:pPr>
        <w:pStyle w:val="1099"/>
        <w:keepLines w:val="0"/>
        <w:keepNext/>
        <w:pageBreakBefore w:val="0"/>
        <w:widowControl/>
        <w:rPr>
          <w:i w:val="0"/>
          <w:iCs w:val="0"/>
          <w:color w:val="auto"/>
          <w:highlight w:val="none"/>
        </w:rPr>
      </w:pPr>
      <w:r>
        <w:rPr>
          <w:i w:val="0"/>
          <w:iCs w:val="0"/>
          <w:color w:val="auto"/>
          <w:highlight w:val="none"/>
        </w:rPr>
      </w:r>
      <w:r/>
    </w:p>
    <w:p>
      <w:pPr>
        <w:pStyle w:val="1099"/>
        <w:keepLines w:val="0"/>
        <w:keepNext/>
        <w:pageBreakBefore w:val="0"/>
        <w:widowControl/>
        <w:rPr>
          <w:i w:val="0"/>
          <w:iCs w:val="0"/>
          <w:color w:val="auto"/>
          <w:highlight w:val="none"/>
        </w:rPr>
      </w:pPr>
      <w:r>
        <w:rPr>
          <w:i w:val="0"/>
          <w:iCs w:val="0"/>
          <w:color w:val="auto"/>
          <w:highlight w:val="none"/>
        </w:rPr>
      </w:r>
      <w:r/>
    </w:p>
    <w:p>
      <w:pPr>
        <w:pStyle w:val="1099"/>
        <w:keepLines w:val="0"/>
        <w:keepNext/>
        <w:pageBreakBefore w:val="0"/>
        <w:widowControl/>
        <w:rPr>
          <w:i w:val="0"/>
          <w:iCs w:val="0"/>
          <w:color w:val="auto"/>
          <w:highlight w:val="none"/>
        </w:rPr>
      </w:pPr>
      <w:r>
        <w:rPr>
          <w:i w:val="0"/>
          <w:iCs w:val="0"/>
          <w:color w:val="auto"/>
          <w:highlight w:val="none"/>
        </w:rPr>
      </w:r>
      <w:r/>
    </w:p>
    <w:p>
      <w:pPr>
        <w:pStyle w:val="1099"/>
        <w:keepLines w:val="0"/>
        <w:keepNext/>
        <w:pageBreakBefore w:val="0"/>
        <w:widowControl/>
        <w:rPr>
          <w:i w:val="0"/>
          <w:iCs w:val="0"/>
          <w:color w:val="auto"/>
          <w:highlight w:val="none"/>
        </w:rPr>
      </w:pPr>
      <w:r>
        <w:rPr>
          <w:i w:val="0"/>
          <w:iCs w:val="0"/>
          <w:color w:val="auto"/>
          <w:highlight w:val="none"/>
        </w:rPr>
      </w:r>
      <w:r/>
    </w:p>
    <w:p>
      <w:pPr>
        <w:ind w:firstLine="1054"/>
        <w:keepLines w:val="0"/>
        <w:keepNext/>
        <w:pageBreakBefore w:val="0"/>
        <w:spacing w:line="480" w:lineRule="auto"/>
        <w:shd w:val="clear" w:color="auto" w:fill="auto"/>
        <w:widowControl/>
        <w:rPr>
          <w:rFonts w:ascii="宋体" w:hAnsi="宋体" w:eastAsia="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lang w:val="en-US" w:eastAsia="zh-CN"/>
        </w:rPr>
        <w:t xml:space="preserve">供应商</w:t>
      </w:r>
      <w:r>
        <w:rPr>
          <w:rFonts w:hint="eastAsia" w:ascii="宋体" w:hAnsi="宋体"/>
          <w:b/>
          <w:i w:val="0"/>
          <w:iCs w:val="0"/>
          <w:color w:val="auto"/>
          <w:sz w:val="30"/>
          <w:szCs w:val="30"/>
          <w:highlight w:val="none"/>
        </w:rPr>
        <w:t xml:space="preserve">名称：</w:t>
      </w:r>
      <w:r>
        <w:rPr>
          <w:rFonts w:hint="eastAsia" w:ascii="宋体" w:hAnsi="宋体"/>
          <w:b/>
          <w:i w:val="0"/>
          <w:iCs w:val="0"/>
          <w:color w:val="auto"/>
          <w:sz w:val="30"/>
          <w:szCs w:val="30"/>
          <w:highlight w:val="none"/>
          <w:u w:val="single"/>
          <w:lang w:val="en-US" w:eastAsia="zh-CN"/>
        </w:rPr>
        <w:t xml:space="preserve">         （加盖CA电子公章）        </w:t>
      </w:r>
      <w:r/>
    </w:p>
    <w:p>
      <w:pPr>
        <w:ind w:firstLine="1054"/>
        <w:keepLines w:val="0"/>
        <w:keepNext/>
        <w:pageBreakBefore w:val="0"/>
        <w:spacing w:line="480" w:lineRule="auto"/>
        <w:shd w:val="clear" w:color="auto" w:fill="auto"/>
        <w:widowControl/>
        <w:rPr>
          <w:rFonts w:hint="eastAsia" w:ascii="宋体" w:hAnsi="宋体"/>
          <w:b/>
          <w:i w:val="0"/>
          <w:iCs w:val="0"/>
          <w:color w:val="auto"/>
          <w:sz w:val="30"/>
          <w:szCs w:val="30"/>
          <w:highlight w:val="none"/>
          <w:u w:val="single"/>
          <w:lang w:val="en-US" w:eastAsia="zh-CN"/>
        </w:rPr>
      </w:pPr>
      <w:r>
        <w:rPr>
          <w:rFonts w:hint="eastAsia" w:ascii="宋体" w:hAnsi="宋体"/>
          <w:b/>
          <w:i w:val="0"/>
          <w:iCs w:val="0"/>
          <w:color w:val="auto"/>
          <w:sz w:val="30"/>
          <w:szCs w:val="30"/>
          <w:highlight w:val="none"/>
        </w:rPr>
        <w:t xml:space="preserve">日 </w:t>
      </w:r>
      <w:r>
        <w:rPr>
          <w:rFonts w:hint="eastAsia" w:ascii="宋体" w:hAnsi="宋体"/>
          <w:b/>
          <w:i w:val="0"/>
          <w:iCs w:val="0"/>
          <w:color w:val="auto"/>
          <w:sz w:val="30"/>
          <w:szCs w:val="30"/>
          <w:highlight w:val="none"/>
          <w:lang w:val="en-US" w:eastAsia="zh-CN"/>
        </w:rPr>
        <w:t xml:space="preserve">     </w:t>
      </w:r>
      <w:r>
        <w:rPr>
          <w:rFonts w:hint="eastAsia" w:ascii="宋体" w:hAnsi="宋体"/>
          <w:b/>
          <w:i w:val="0"/>
          <w:iCs w:val="0"/>
          <w:color w:val="auto"/>
          <w:sz w:val="30"/>
          <w:szCs w:val="30"/>
          <w:highlight w:val="none"/>
        </w:rPr>
        <w:t xml:space="preserve">期：</w:t>
      </w:r>
      <w:r>
        <w:rPr>
          <w:rFonts w:hint="eastAsia" w:ascii="宋体" w:hAnsi="宋体"/>
          <w:b/>
          <w:i w:val="0"/>
          <w:iCs w:val="0"/>
          <w:color w:val="auto"/>
          <w:sz w:val="30"/>
          <w:szCs w:val="30"/>
          <w:highlight w:val="none"/>
          <w:u w:val="single"/>
          <w:lang w:val="en-US" w:eastAsia="zh-CN"/>
        </w:rPr>
        <w:t xml:space="preserve">                                     </w:t>
      </w:r>
      <w:r/>
    </w:p>
    <w:p>
      <w:pPr>
        <w:jc w:val="left"/>
        <w:keepLines w:val="0"/>
        <w:keepNext/>
        <w:pageBreakBefore w:val="0"/>
        <w:spacing w:before="120" w:after="120" w:line="360" w:lineRule="auto"/>
        <w:widowControl/>
        <w:rPr>
          <w:rFonts w:hint="eastAsia" w:ascii="宋体" w:hAnsi="宋体" w:eastAsia="宋体" w:cs="宋体"/>
          <w:b/>
          <w:color w:val="auto"/>
          <w:sz w:val="30"/>
          <w:szCs w:val="30"/>
          <w:highlight w:val="none"/>
        </w:rPr>
        <w:outlineLvl w:val="1"/>
      </w:pPr>
      <w:r>
        <w:rPr>
          <w:rFonts w:ascii="宋体" w:hAnsi="宋体"/>
          <w:b/>
          <w:color w:val="auto"/>
          <w:sz w:val="32"/>
          <w:szCs w:val="32"/>
          <w:highlight w:val="none"/>
        </w:rPr>
        <w:br w:type="page" w:clear="all"/>
      </w:r>
      <w:r>
        <w:rPr>
          <w:rFonts w:hint="eastAsia" w:ascii="宋体" w:hAnsi="宋体" w:eastAsia="宋体" w:cs="宋体"/>
          <w:bCs/>
          <w:color w:val="auto"/>
          <w:sz w:val="24"/>
          <w:szCs w:val="28"/>
          <w:highlight w:val="none"/>
        </w:rPr>
        <w:t xml:space="preserve">格式1、响应函</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响 应 函</w:t>
      </w:r>
      <w:r/>
    </w:p>
    <w:p>
      <w:pPr>
        <w:jc w:val="left"/>
        <w:keepLines w:val="0"/>
        <w:keepNext/>
        <w:pageBreakBefore w:val="0"/>
        <w:spacing w:line="360" w:lineRule="auto"/>
        <w:widowControl/>
        <w:tabs>
          <w:tab w:val="left" w:pos="360" w:leader="none"/>
        </w:tabs>
        <w:rPr>
          <w:rFonts w:hint="eastAsia" w:ascii="宋体"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rPr>
        <w:t xml:space="preserve">致：</w:t>
      </w:r>
      <w:r>
        <w:rPr>
          <w:rFonts w:hint="eastAsia" w:ascii="宋体" w:hAnsi="宋体" w:cs="Times New Roman"/>
          <w:bCs/>
          <w:color w:val="auto"/>
          <w:sz w:val="24"/>
          <w:szCs w:val="21"/>
          <w:highlight w:val="none"/>
          <w:lang w:val="en-US" w:eastAsia="zh-CN"/>
        </w:rPr>
        <w:t xml:space="preserve">连云港市赣榆区自然资源和规划局</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根据贵方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标段（项目编号：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）采购文件，正式授权下述签字人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参加贵方组织的采购活动，按照采购文件要求提交响应文件。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据此函，签字人兹宣布同意如下：</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1.按采购文件项目需求提交响应报价，报价、合同履行期限等详见开标一览表。</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3.我方承诺已经具备《中华人民共和国政府采购法》中规定的参加政府采购活动的供应商应当具备的条件：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（1）具有独立承担民事责任的能力；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（2）具有良好的商业信誉和健全的财务会计制度；</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（3）具有履行合同所必需的设备和专业技术能力；</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（4）有依法缴纳税收和社会保障资金的良好记录；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（5）参加此项采购活动前三年内，在经营活动中没有重大违法记录。</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4.我方根据采购文件的规定，承担完成合同的责任和义务。</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5.我方已详细审核采购文件，我方知道必须放弃提出含糊不清或误解问题的权利。</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6.如果在响应文件有效期内撤回或者有其他违约行为，我方的保证金可被贵方全部或部分没收。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7.同意应贵方要求提供与本次采购活动有关的任何数据或资料。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8.我方完全理解，最低报价不是中标（成交）的唯一条件。</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9.若贵方需要，我方愿意提供我方作出的一切承诺的证明材料。</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（1）提供虚假材料谋取中标、成交的；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（2）采取不正当手段诋毁、排挤其他供应商的；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（3）与采购人、其他供应商或者采购代理机构恶意串通的；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（4）向采购人、采购代理机构行贿或者提供其他不正当利益的；</w:t>
      </w:r>
      <w:r/>
    </w:p>
    <w:p>
      <w:pPr>
        <w:ind w:firstLine="480"/>
        <w:jc w:val="left"/>
        <w:keepLines w:val="0"/>
        <w:keepNext/>
        <w:pageBreakBefore w:val="0"/>
        <w:spacing w:line="360" w:lineRule="auto"/>
        <w:widowControl/>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（5）在招标采购过程中与采购人进行协商谈判的；</w:t>
      </w:r>
      <w:r/>
    </w:p>
    <w:p>
      <w:pPr>
        <w:ind w:firstLine="480"/>
        <w:jc w:val="left"/>
        <w:keepLines w:val="0"/>
        <w:keepNext/>
        <w:pageBreakBefore w:val="0"/>
        <w:spacing w:line="360" w:lineRule="auto"/>
        <w:widowControl/>
        <w:tabs>
          <w:tab w:val="left" w:pos="360" w:leader="none"/>
        </w:tabs>
        <w:rPr>
          <w:rFonts w:ascii="宋体" w:hAnsi="宋体"/>
          <w:bCs/>
          <w:color w:val="auto"/>
          <w:sz w:val="24"/>
          <w:szCs w:val="21"/>
          <w:highlight w:val="none"/>
        </w:rPr>
      </w:pPr>
      <w:r>
        <w:rPr>
          <w:rFonts w:hint="eastAsia" w:ascii="宋体" w:hAnsi="宋体" w:eastAsia="宋体" w:cs="宋体"/>
          <w:bCs/>
          <w:color w:val="auto"/>
          <w:sz w:val="24"/>
          <w:szCs w:val="21"/>
          <w:highlight w:val="none"/>
        </w:rPr>
        <w:t xml:space="preserve">（6）拒绝有关部门监督检查或提供虚假情况的。</w:t>
      </w:r>
      <w:r/>
    </w:p>
    <w:p>
      <w:pPr>
        <w:ind w:firstLine="480"/>
        <w:jc w:val="left"/>
        <w:keepLines w:val="0"/>
        <w:keepNext/>
        <w:pageBreakBefore w:val="0"/>
        <w:spacing w:line="360" w:lineRule="auto"/>
        <w:widowControl/>
        <w:tabs>
          <w:tab w:val="left" w:pos="360" w:leader="none"/>
        </w:tabs>
        <w:rPr>
          <w:rFonts w:ascii="宋体" w:hAnsi="宋体"/>
          <w:bCs/>
          <w:color w:val="auto"/>
          <w:sz w:val="24"/>
          <w:szCs w:val="21"/>
          <w:highlight w:val="none"/>
        </w:rPr>
      </w:pPr>
      <w:r>
        <w:rPr>
          <w:rFonts w:ascii="宋体" w:hAnsi="宋体"/>
          <w:bCs/>
          <w:color w:val="auto"/>
          <w:sz w:val="24"/>
          <w:szCs w:val="21"/>
          <w:highlight w:val="none"/>
        </w:rPr>
        <w:t xml:space="preserve"> </w:t>
      </w:r>
      <w:r/>
    </w:p>
    <w:p>
      <w:pPr>
        <w:ind w:firstLine="432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注：未按照本</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函的格式要求填写的，将造成非实质响应，从而导致该</w:t>
      </w:r>
      <w:r>
        <w:rPr>
          <w:rFonts w:hint="eastAsia" w:ascii="宋体" w:hAnsi="宋体" w:cs="宋体"/>
          <w:color w:val="auto"/>
          <w:sz w:val="24"/>
          <w:szCs w:val="24"/>
          <w:highlight w:val="none"/>
          <w:lang w:val="en-US" w:eastAsia="zh-CN"/>
        </w:rPr>
        <w:t xml:space="preserve">供应商响应</w:t>
      </w:r>
      <w:r>
        <w:rPr>
          <w:rFonts w:hint="eastAsia" w:ascii="宋体" w:hAnsi="宋体" w:eastAsia="宋体" w:cs="宋体"/>
          <w:color w:val="auto"/>
          <w:sz w:val="24"/>
          <w:szCs w:val="24"/>
          <w:highlight w:val="none"/>
        </w:rPr>
        <w:t xml:space="preserve">无效。</w:t>
      </w:r>
      <w:r/>
    </w:p>
    <w:p>
      <w:pPr>
        <w:jc w:val="left"/>
        <w:keepLines w:val="0"/>
        <w:keepNext/>
        <w:pageBreakBefore w:val="0"/>
        <w:spacing w:before="120" w:after="120" w:line="360" w:lineRule="auto"/>
        <w:widowControl/>
        <w:rPr>
          <w:b/>
          <w:color w:val="auto"/>
          <w:szCs w:val="24"/>
          <w:highlight w:val="none"/>
        </w:rPr>
        <w:outlineLvl w:val="1"/>
      </w:pPr>
      <w:r>
        <w:rPr>
          <w:b/>
          <w:color w:val="auto"/>
          <w:szCs w:val="24"/>
          <w:highlight w:val="none"/>
        </w:rPr>
        <w:br w:type="page" w:clear="all"/>
      </w:r>
      <w:r>
        <w:rPr>
          <w:rFonts w:hint="eastAsia" w:ascii="宋体" w:hAnsi="宋体" w:eastAsia="宋体" w:cs="宋体"/>
          <w:bCs/>
          <w:color w:val="auto"/>
          <w:sz w:val="24"/>
          <w:szCs w:val="28"/>
          <w:highlight w:val="none"/>
        </w:rPr>
        <w:t xml:space="preserve">格式2、首次磋商报价表（开标一览表）</w:t>
      </w:r>
      <w:r/>
    </w:p>
    <w:p>
      <w:pPr>
        <w:jc w:val="center"/>
        <w:keepLines w:val="0"/>
        <w:keepNext/>
        <w:pageBreakBefore w:val="0"/>
        <w:spacing w:before="286" w:after="286" w:line="360" w:lineRule="auto"/>
        <w:widowControl/>
        <w:rPr>
          <w:rFonts w:hint="eastAsia" w:ascii="宋体" w:hAnsi="宋体" w:cs="方正仿宋_GBK"/>
          <w:color w:val="auto"/>
          <w:sz w:val="36"/>
          <w:szCs w:val="36"/>
          <w:highlight w:val="none"/>
        </w:rPr>
      </w:pPr>
      <w:r>
        <w:rPr>
          <w:rFonts w:hint="eastAsia" w:ascii="宋体" w:hAnsi="宋体" w:eastAsia="宋体" w:cs="宋体"/>
          <w:b/>
          <w:bCs w:val="0"/>
          <w:color w:val="auto"/>
          <w:sz w:val="36"/>
          <w:szCs w:val="36"/>
          <w:highlight w:val="none"/>
        </w:rPr>
        <w:t xml:space="preserve">首次磋商报价表（开标一览表）</w:t>
      </w:r>
      <w:r/>
    </w:p>
    <w:p>
      <w:pPr>
        <w:ind w:firstLine="720"/>
        <w:jc w:val="left"/>
        <w:keepLines w:val="0"/>
        <w:keepNext/>
        <w:pageBreakBefore w:val="0"/>
        <w:spacing w:line="360" w:lineRule="auto"/>
        <w:widowControl/>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lang w:val="en-US" w:eastAsia="zh-CN"/>
        </w:rPr>
        <w:t xml:space="preserve">项目</w:t>
      </w:r>
      <w:r>
        <w:rPr>
          <w:rFonts w:hint="eastAsia" w:ascii="宋体" w:hAnsi="宋体" w:cs="方正仿宋_GBK"/>
          <w:color w:val="auto"/>
          <w:sz w:val="24"/>
          <w:szCs w:val="24"/>
          <w:highlight w:val="none"/>
        </w:rPr>
        <w:t xml:space="preserve">名称：</w:t>
      </w:r>
      <w:r/>
    </w:p>
    <w:p>
      <w:pPr>
        <w:ind w:firstLine="720"/>
        <w:jc w:val="left"/>
        <w:keepLines w:val="0"/>
        <w:keepNext/>
        <w:pageBreakBefore w:val="0"/>
        <w:spacing w:line="360" w:lineRule="auto"/>
        <w:widowControl/>
        <w:rPr>
          <w:color w:val="auto"/>
          <w:szCs w:val="24"/>
          <w:highlight w:val="none"/>
        </w:rPr>
      </w:pPr>
      <w:r>
        <w:rPr>
          <w:rFonts w:hint="eastAsia" w:ascii="宋体" w:hAnsi="宋体" w:cs="方正仿宋_GBK"/>
          <w:color w:val="auto"/>
          <w:sz w:val="24"/>
          <w:szCs w:val="24"/>
          <w:highlight w:val="none"/>
          <w:lang w:val="en-US" w:eastAsia="zh-CN"/>
        </w:rPr>
        <w:t xml:space="preserve">项目</w:t>
      </w:r>
      <w:r>
        <w:rPr>
          <w:rFonts w:hint="eastAsia" w:ascii="宋体" w:hAnsi="宋体" w:cs="方正仿宋_GBK"/>
          <w:color w:val="auto"/>
          <w:sz w:val="24"/>
          <w:szCs w:val="24"/>
          <w:highlight w:val="none"/>
        </w:rPr>
        <w:t xml:space="preserve">编号：</w:t>
      </w:r>
      <w:r/>
    </w:p>
    <w:tbl>
      <w:tblPr>
        <w:tblStyle w:val="85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2"/>
        <w:gridCol w:w="4198"/>
      </w:tblGrid>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2463"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响应报价</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2536" w:type="dxa"/>
            <w:vAlign w:val="center"/>
            <w:textDirection w:val="lrTb"/>
            <w:noWrap w:val="false"/>
          </w:tcPr>
          <w:p>
            <w:pPr>
              <w:jc w:val="center"/>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合同履行期限（服务期限）</w:t>
            </w:r>
            <w:r/>
          </w:p>
        </w:tc>
        <w:tc>
          <w:tcPr>
            <w:tcW w:w="2463"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jc w:val="center"/>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20"/>
        <w:keepLines w:val="0"/>
        <w:keepNext/>
        <w:pageBreakBefore w:val="0"/>
        <w:spacing w:line="360" w:lineRule="auto"/>
        <w:widowControl/>
        <w:rPr>
          <w:color w:val="auto"/>
          <w:szCs w:val="24"/>
          <w:highlight w:val="none"/>
        </w:rPr>
      </w:pPr>
      <w:r>
        <w:rPr>
          <w:color w:val="auto"/>
          <w:szCs w:val="24"/>
          <w:highlight w:val="none"/>
        </w:rPr>
      </w:r>
      <w:r/>
    </w:p>
    <w:p>
      <w:pPr>
        <w:jc w:val="left"/>
        <w:keepLines w:val="0"/>
        <w:keepNext/>
        <w:pageBreakBefore w:val="0"/>
        <w:spacing w:before="120" w:after="120" w:line="360" w:lineRule="auto"/>
        <w:widowControl/>
        <w:rPr>
          <w:rFonts w:hint="eastAsia" w:ascii="黑体" w:hAnsi="黑体" w:eastAsia="黑体" w:cs="宋体"/>
          <w:bCs/>
          <w:color w:val="auto"/>
          <w:sz w:val="24"/>
          <w:szCs w:val="28"/>
          <w:highlight w:val="none"/>
        </w:rPr>
        <w:outlineLvl w:val="1"/>
      </w:pPr>
      <w:r>
        <w:rPr>
          <w:rFonts w:ascii="宋体" w:hAnsi="宋体"/>
          <w:b/>
          <w:color w:val="auto"/>
          <w:sz w:val="24"/>
          <w:szCs w:val="24"/>
          <w:highlight w:val="none"/>
        </w:rPr>
        <w:br w:type="page" w:clear="all"/>
      </w:r>
      <w:r>
        <w:rPr>
          <w:rFonts w:hint="eastAsia" w:ascii="宋体" w:hAnsi="宋体" w:eastAsia="宋体" w:cs="宋体"/>
          <w:bCs/>
          <w:color w:val="auto"/>
          <w:sz w:val="24"/>
          <w:szCs w:val="28"/>
          <w:highlight w:val="none"/>
        </w:rPr>
        <w:t xml:space="preserve">格式3、首次磋商报价明细表</w:t>
      </w:r>
      <w:r/>
    </w:p>
    <w:p>
      <w:pPr>
        <w:jc w:val="left"/>
        <w:keepLines w:val="0"/>
        <w:keepNext/>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黑体" w:hAnsi="黑体" w:eastAsia="黑体" w:cs="宋体"/>
          <w:bCs/>
          <w:color w:val="auto"/>
          <w:sz w:val="24"/>
          <w:szCs w:val="28"/>
          <w:highlight w:val="none"/>
          <w:lang w:val="en-US" w:eastAsia="zh-CN"/>
        </w:rPr>
        <w:t xml:space="preserve">                        </w:t>
      </w:r>
      <w:r>
        <w:rPr>
          <w:rFonts w:hint="eastAsia" w:ascii="宋体" w:hAnsi="宋体" w:eastAsia="宋体" w:cs="宋体"/>
          <w:b/>
          <w:bCs w:val="0"/>
          <w:color w:val="auto"/>
          <w:sz w:val="32"/>
          <w:szCs w:val="32"/>
          <w:highlight w:val="none"/>
          <w:lang w:val="en-US" w:eastAsia="zh-CN"/>
        </w:rPr>
        <w:t xml:space="preserve">  </w:t>
      </w:r>
      <w:r>
        <w:rPr>
          <w:rFonts w:hint="eastAsia" w:ascii="宋体" w:hAnsi="宋体" w:eastAsia="宋体" w:cs="宋体"/>
          <w:b/>
          <w:bCs w:val="0"/>
          <w:color w:val="auto"/>
          <w:sz w:val="36"/>
          <w:szCs w:val="36"/>
          <w:highlight w:val="none"/>
          <w:lang w:val="en-US" w:eastAsia="zh-CN"/>
        </w:rPr>
        <w:t xml:space="preserve">  报价明细表</w:t>
      </w:r>
      <w:r/>
    </w:p>
    <w:p>
      <w:pPr>
        <w:jc w:val="left"/>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p>
    <w:p>
      <w:pPr>
        <w:pStyle w:val="1100"/>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p>
    <w:p>
      <w:pPr>
        <w:pStyle w:val="1049"/>
        <w:ind w:right="0"/>
        <w:keepLines w:val="0"/>
        <w:keepNext/>
        <w:pageBreakBefore w:val="0"/>
        <w:spacing w:line="360" w:lineRule="auto"/>
        <w:widowControl/>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单位：人民币元</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17"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产品、服务名称</w:t>
            </w:r>
            <w:r/>
          </w:p>
        </w:tc>
        <w:tc>
          <w:tcPr>
            <w:tcW w:w="1560"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分项单位</w:t>
            </w:r>
            <w:r/>
          </w:p>
        </w:tc>
        <w:tc>
          <w:tcPr>
            <w:tcW w:w="1275"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2551" w:type="dxa"/>
            <w:vAlign w:val="center"/>
            <w:textDirection w:val="lrTb"/>
            <w:noWrap w:val="false"/>
          </w:tcPr>
          <w:p>
            <w:pPr>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单项合计价</w:t>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tcW w:w="95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1"/>
        </w:trPr>
        <w:tc>
          <w:tcPr>
            <w:gridSpan w:val="5"/>
            <w:tcW w:w="6629"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总计（元）</w:t>
            </w:r>
            <w:r/>
          </w:p>
        </w:tc>
        <w:tc>
          <w:tcPr>
            <w:tcW w:w="2551" w:type="dxa"/>
            <w:vAlign w:val="center"/>
            <w:textDirection w:val="lrTb"/>
            <w:noWrap w:val="false"/>
          </w:tcPr>
          <w:p>
            <w:pPr>
              <w:ind w:firstLine="480"/>
              <w:jc w:val="center"/>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ind w:firstLine="456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keepLines w:val="0"/>
        <w:keepNext/>
        <w:pageBreakBefore w:val="0"/>
        <w:spacing w:line="360" w:lineRule="auto"/>
        <w:widowControl/>
        <w:tabs>
          <w:tab w:val="left" w:pos="1260" w:leader="none"/>
        </w:tabs>
        <w:rPr>
          <w:rFonts w:ascii="宋体" w:hAnsi="宋体"/>
          <w:color w:val="auto"/>
          <w:sz w:val="21"/>
          <w:szCs w:val="21"/>
          <w:highlight w:val="none"/>
        </w:rPr>
      </w:pPr>
      <w:r>
        <w:rPr>
          <w:rFonts w:hint="eastAsia" w:ascii="宋体" w:hAnsi="宋体"/>
          <w:color w:val="auto"/>
          <w:sz w:val="21"/>
          <w:szCs w:val="21"/>
          <w:highlight w:val="none"/>
        </w:rPr>
        <w:t xml:space="preserve">填表说明：</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1.此表可以根据需要自行增减行数，且该表报价非本次磋商中的最后报价。</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2.各分项最终结算价按首次磋商报价与最后磋商报价同比例变动。</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3.项目如有分包，请各磋商供应商按相应的分包分别列表。</w:t>
      </w:r>
      <w:r/>
    </w:p>
    <w:p>
      <w:pPr>
        <w:ind w:firstLine="420"/>
        <w:jc w:val="left"/>
        <w:keepLines w:val="0"/>
        <w:keepNext/>
        <w:pageBreakBefore w:val="0"/>
        <w:spacing w:line="360" w:lineRule="auto"/>
        <w:widowControl/>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4.行数或事项不够，可自行增加</w:t>
      </w:r>
      <w:r/>
    </w:p>
    <w:p>
      <w:pPr>
        <w:jc w:val="left"/>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color w:val="auto"/>
          <w:highlight w:val="none"/>
        </w:rPr>
      </w:pPr>
      <w:r>
        <w:rPr>
          <w:color w:val="auto"/>
          <w:highlight w:val="none"/>
        </w:rPr>
      </w:r>
      <w:r/>
    </w:p>
    <w:p>
      <w:pPr>
        <w:pStyle w:val="1062"/>
        <w:keepLines w:val="0"/>
        <w:keepNext/>
        <w:pageBreakBefore w:val="0"/>
        <w:widowControl/>
        <w:rPr>
          <w:color w:val="auto"/>
          <w:highlight w:val="none"/>
        </w:rPr>
      </w:pPr>
      <w:r>
        <w:rPr>
          <w:color w:val="auto"/>
          <w:highlight w:val="none"/>
        </w:rPr>
      </w:r>
      <w:r/>
    </w:p>
    <w:p>
      <w:pPr>
        <w:pStyle w:val="1062"/>
        <w:keepLines w:val="0"/>
        <w:keepNext/>
        <w:pageBreakBefore w:val="0"/>
        <w:widowControl/>
        <w:rPr>
          <w:color w:val="auto"/>
          <w:highlight w:val="none"/>
        </w:rPr>
      </w:pPr>
      <w:r>
        <w:rPr>
          <w:color w:val="auto"/>
          <w:highlight w:val="none"/>
        </w:rPr>
      </w:r>
      <w:r/>
    </w:p>
    <w:p>
      <w:pPr>
        <w:pStyle w:val="1062"/>
        <w:keepLines w:val="0"/>
        <w:keepNext/>
        <w:pageBreakBefore w:val="0"/>
        <w:widowControl/>
        <w:rPr>
          <w:color w:val="auto"/>
          <w:highlight w:val="none"/>
        </w:rPr>
      </w:pPr>
      <w:r>
        <w:rPr>
          <w:color w:val="auto"/>
          <w:highlight w:val="none"/>
        </w:rPr>
      </w:r>
      <w:r/>
    </w:p>
    <w:p>
      <w:pPr>
        <w:pStyle w:val="1062"/>
        <w:keepLines w:val="0"/>
        <w:keepNext/>
        <w:pageBreakBefore w:val="0"/>
        <w:widowControl/>
        <w:rPr>
          <w:color w:val="auto"/>
          <w:highlight w:val="none"/>
        </w:rPr>
      </w:pPr>
      <w:r>
        <w:rPr>
          <w:color w:val="auto"/>
          <w:highlight w:val="none"/>
        </w:rPr>
      </w:r>
      <w:r/>
    </w:p>
    <w:p>
      <w:pPr>
        <w:pStyle w:val="1062"/>
        <w:keepLines w:val="0"/>
        <w:keepNext/>
        <w:pageBreakBefore w:val="0"/>
        <w:widowControl/>
        <w:rPr>
          <w:color w:val="auto"/>
          <w:highlight w:val="none"/>
        </w:rPr>
      </w:pPr>
      <w:r>
        <w:rPr>
          <w:color w:val="auto"/>
          <w:highlight w:val="none"/>
        </w:rPr>
      </w:r>
      <w:r/>
    </w:p>
    <w:p>
      <w:pPr>
        <w:pStyle w:val="1062"/>
        <w:ind w:left="0" w:firstLine="0"/>
        <w:keepLines w:val="0"/>
        <w:keepNext/>
        <w:pageBreakBefore w:val="0"/>
        <w:widowControl/>
        <w:rPr>
          <w:color w:val="auto"/>
          <w:highlight w:val="none"/>
        </w:rPr>
      </w:pPr>
      <w:r>
        <w:rPr>
          <w:color w:val="auto"/>
          <w:highlight w:val="none"/>
        </w:rPr>
      </w:r>
      <w:r/>
    </w:p>
    <w:p>
      <w:pPr>
        <w:jc w:val="left"/>
        <w:keepLines w:val="0"/>
        <w:keepNext/>
        <w:pageBreakBefore w:val="0"/>
        <w:spacing w:line="360" w:lineRule="auto"/>
        <w:widowControl/>
        <w:rPr>
          <w:rFonts w:ascii="黑体" w:hAnsi="黑体" w:eastAsia="黑体" w:cs="宋体"/>
          <w:bCs/>
          <w:color w:val="auto"/>
          <w:sz w:val="24"/>
          <w:szCs w:val="28"/>
          <w:highlight w:val="none"/>
        </w:rPr>
      </w:pPr>
      <w:r>
        <w:rPr>
          <w:rFonts w:hint="eastAsia" w:ascii="宋体" w:hAnsi="宋体" w:eastAsia="宋体" w:cs="宋体"/>
          <w:bCs/>
          <w:color w:val="auto"/>
          <w:sz w:val="24"/>
          <w:szCs w:val="28"/>
          <w:highlight w:val="none"/>
        </w:rPr>
        <w:t xml:space="preserve">格式4、财务状况报告及税收、社会保障资金缴纳情况承诺函</w:t>
      </w:r>
      <w:r/>
    </w:p>
    <w:p>
      <w:pPr>
        <w:keepLines w:val="0"/>
        <w:keepNext/>
        <w:pageBreakBefore w:val="0"/>
        <w:spacing w:line="360" w:lineRule="auto"/>
        <w:widowControl/>
        <w:rPr>
          <w:color w:val="auto"/>
          <w:szCs w:val="24"/>
          <w:highlight w:val="none"/>
        </w:rPr>
      </w:pPr>
      <w:r>
        <w:rPr>
          <w:color w:val="auto"/>
          <w:szCs w:val="24"/>
          <w:highlight w:val="none"/>
        </w:rPr>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财务状况报告及税收、社会保障资金缴纳情况</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承诺函</w:t>
      </w:r>
      <w:r/>
    </w:p>
    <w:p>
      <w:pPr>
        <w:jc w:val="left"/>
        <w:keepLines w:val="0"/>
        <w:keepNext/>
        <w:pageBreakBefore w:val="0"/>
        <w:spacing w:line="360" w:lineRule="auto"/>
        <w:widowControl/>
        <w:rPr>
          <w:rFonts w:ascii="MS Mincho"/>
          <w:color w:val="auto"/>
          <w:szCs w:val="24"/>
          <w:highlight w:val="none"/>
        </w:rPr>
      </w:pPr>
      <w:r>
        <w:rPr>
          <w:rFonts w:ascii="MS Mincho"/>
          <w:color w:val="auto"/>
          <w:szCs w:val="24"/>
          <w:highlight w:val="none"/>
        </w:rPr>
      </w:r>
      <w:r/>
    </w:p>
    <w:p>
      <w:pPr>
        <w:keepLines w:val="0"/>
        <w:keepNext/>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s="Times New Roman"/>
          <w:bCs/>
          <w:color w:val="auto"/>
          <w:sz w:val="24"/>
          <w:szCs w:val="21"/>
          <w:highlight w:val="none"/>
          <w:lang w:val="en-US" w:eastAsia="zh-CN"/>
        </w:rPr>
        <w:t xml:space="preserve">连云港市赣榆区自然资源和规划局</w:t>
      </w:r>
      <w:r/>
    </w:p>
    <w:p>
      <w:pPr>
        <w:ind w:firstLine="480"/>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我方</w:t>
      </w:r>
      <w:r>
        <w:rPr>
          <w:rFonts w:hint="eastAsia" w:ascii="宋体" w:hAnsi="宋体"/>
          <w:color w:val="auto"/>
          <w:sz w:val="24"/>
          <w:szCs w:val="24"/>
          <w:highlight w:val="none"/>
          <w:u w:val="single"/>
        </w:rPr>
        <w:t xml:space="preserve"> </w:t>
      </w:r>
      <w:r>
        <w:rPr>
          <w:rFonts w:hint="eastAsia" w:ascii="宋体" w:hAnsi="宋体"/>
          <w:b w:val="0"/>
          <w:bCs w:val="0"/>
          <w:i w:val="0"/>
          <w:iCs/>
          <w:color w:val="auto"/>
          <w:sz w:val="24"/>
          <w:szCs w:val="24"/>
          <w:highlight w:val="none"/>
          <w:u w:val="single"/>
        </w:rPr>
        <w:t xml:space="preserve">供应商名称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lang w:val="en-US" w:eastAsia="zh-CN"/>
        </w:rPr>
        <w:t xml:space="preserve">    项目名称  </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（1）具有良好的商业信誉和健全的财务会计制度（财务状况报告）；</w:t>
      </w:r>
      <w:r/>
    </w:p>
    <w:p>
      <w:pPr>
        <w:ind w:firstLine="480"/>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（2）有依法缴纳税收和社会保障资金的良好记录。</w:t>
      </w:r>
      <w:r/>
    </w:p>
    <w:p>
      <w:pPr>
        <w:ind w:firstLine="480"/>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特此承诺</w:t>
      </w:r>
      <w:r>
        <w:rPr>
          <w:rFonts w:hint="eastAsia" w:ascii="宋体" w:hAnsi="宋体" w:eastAsia="宋体" w:cs="宋体"/>
          <w:color w:val="auto"/>
          <w:sz w:val="24"/>
          <w:highlight w:val="none"/>
        </w:rPr>
        <w:t xml:space="preserve">！</w:t>
      </w:r>
      <w:r/>
    </w:p>
    <w:p>
      <w:pPr>
        <w:ind w:firstLine="480"/>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32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2"/>
        <w:keepLines w:val="0"/>
        <w:keepNext/>
        <w:pageBreakBefore w:val="0"/>
        <w:spacing w:line="360" w:lineRule="auto"/>
        <w:widowControl/>
        <w:rPr>
          <w:rFonts w:ascii="宋体" w:hAnsi="宋体"/>
          <w:b/>
          <w:color w:val="auto"/>
          <w:sz w:val="24"/>
          <w:szCs w:val="20"/>
          <w:highlight w:val="none"/>
        </w:rPr>
      </w:pPr>
      <w:r>
        <w:rPr>
          <w:rFonts w:ascii="宋体" w:hAnsi="宋体"/>
          <w:b/>
          <w:color w:val="auto"/>
          <w:sz w:val="24"/>
          <w:szCs w:val="20"/>
          <w:highlight w:val="none"/>
        </w:rPr>
      </w:r>
      <w:r/>
    </w:p>
    <w:p>
      <w:pPr>
        <w:jc w:val="left"/>
        <w:keepLines w:val="0"/>
        <w:keepNext/>
        <w:pageBreakBefore w:val="0"/>
        <w:spacing w:before="120" w:after="120" w:line="360" w:lineRule="auto"/>
        <w:widowControl/>
        <w:rPr>
          <w:rFonts w:ascii="黑体" w:hAnsi="黑体" w:eastAsia="黑体" w:cs="宋体"/>
          <w:bCs/>
          <w:color w:val="auto"/>
          <w:sz w:val="24"/>
          <w:szCs w:val="28"/>
          <w:highlight w:val="none"/>
        </w:rPr>
        <w:outlineLvl w:val="1"/>
      </w:pPr>
      <w:r>
        <w:rPr>
          <w:rFonts w:ascii="黑体" w:hAnsi="黑体" w:eastAsia="黑体" w:cs="宋体"/>
          <w:bCs/>
          <w:color w:val="auto"/>
          <w:sz w:val="24"/>
          <w:szCs w:val="28"/>
          <w:highlight w:val="none"/>
        </w:rPr>
        <w:br w:type="page" w:clear="all"/>
      </w:r>
      <w:r>
        <w:rPr>
          <w:rFonts w:hint="eastAsia" w:ascii="宋体" w:hAnsi="宋体" w:eastAsia="宋体" w:cs="宋体"/>
          <w:bCs/>
          <w:color w:val="auto"/>
          <w:sz w:val="24"/>
          <w:szCs w:val="28"/>
          <w:highlight w:val="none"/>
        </w:rPr>
        <w:t xml:space="preserve">格式5、中小企业声明函</w:t>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中小企业声明函</w:t>
      </w:r>
      <w:r/>
    </w:p>
    <w:p>
      <w:pPr>
        <w:pStyle w:val="1100"/>
        <w:keepLines w:val="0"/>
        <w:keepNext/>
        <w:pageBreakBefore w:val="0"/>
        <w:widowControl/>
        <w:rPr>
          <w:color w:val="auto"/>
          <w:sz w:val="18"/>
          <w:szCs w:val="18"/>
          <w:highlight w:val="none"/>
        </w:rPr>
      </w:pPr>
      <w:r>
        <w:rPr>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 </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r/>
    </w:p>
    <w:p>
      <w:pPr>
        <w:ind w:firstLine="482"/>
        <w:keepLines w:val="0"/>
        <w:keepNext/>
        <w:pageBreakBefore w:val="0"/>
        <w:spacing w:line="360" w:lineRule="auto"/>
        <w:widowControl/>
        <w:rPr>
          <w:rFonts w:ascii="宋体" w:hAnsi="宋体"/>
          <w:color w:val="auto"/>
          <w:sz w:val="24"/>
          <w:highlight w:val="none"/>
        </w:rPr>
      </w:pPr>
      <w:r>
        <w:rPr>
          <w:rFonts w:ascii="宋体" w:hAnsi="宋体"/>
          <w:color w:val="auto"/>
          <w:sz w:val="24"/>
          <w:highlight w:val="none"/>
        </w:rPr>
        <w:t xml:space="preserve"> </w:t>
      </w:r>
      <w:r/>
    </w:p>
    <w:p>
      <w:pPr>
        <w:ind w:firstLine="480"/>
        <w:keepLines w:val="0"/>
        <w:keepNext/>
        <w:pageBreakBefore w:val="0"/>
        <w:widowControl/>
        <w:rPr>
          <w:rFonts w:ascii="宋体" w:hAnsi="宋体"/>
          <w:color w:val="auto"/>
          <w:sz w:val="24"/>
          <w:highlight w:val="none"/>
        </w:rPr>
      </w:pPr>
      <w:r>
        <w:rPr>
          <w:rFonts w:ascii="宋体" w:hAnsi="宋体"/>
          <w:color w:val="auto"/>
          <w:sz w:val="24"/>
          <w:highlight w:val="none"/>
        </w:rPr>
      </w:r>
      <w:r/>
    </w:p>
    <w:p>
      <w:pPr>
        <w:ind w:firstLine="432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right="480" w:firstLine="480"/>
        <w:keepLines w:val="0"/>
        <w:keepNext/>
        <w:pageBreakBefore w:val="0"/>
        <w:widowControl/>
        <w:rPr>
          <w:rFonts w:hint="eastAsia" w:ascii="宋体" w:hAnsi="宋体"/>
          <w:color w:val="auto"/>
          <w:sz w:val="24"/>
          <w:highlight w:val="none"/>
        </w:rPr>
      </w:pPr>
      <w:r>
        <w:rPr>
          <w:rFonts w:hint="eastAsia" w:ascii="宋体" w:hAnsi="宋体"/>
          <w:color w:val="auto"/>
          <w:sz w:val="24"/>
          <w:highlight w:val="none"/>
        </w:rPr>
        <w:t xml:space="preserve">填报说明：</w:t>
      </w:r>
      <w:r/>
    </w:p>
    <w:p>
      <w:pPr>
        <w:ind w:right="480" w:firstLine="480"/>
        <w:keepLines w:val="0"/>
        <w:keepNext/>
        <w:pageBreakBefore w:val="0"/>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keepLines w:val="0"/>
        <w:keepNext/>
        <w:pageBreakBefore w:val="0"/>
        <w:widowControl/>
        <w:rPr>
          <w:rFonts w:hint="eastAsia" w:ascii="宋体" w:hAnsi="宋体"/>
          <w:color w:val="auto"/>
          <w:sz w:val="24"/>
          <w:highlight w:val="none"/>
        </w:rPr>
      </w:pPr>
      <w:r>
        <w:rPr>
          <w:rFonts w:hint="eastAsia" w:ascii="宋体" w:hAnsi="宋体"/>
          <w:color w:val="auto"/>
          <w:sz w:val="24"/>
          <w:highlight w:val="none"/>
        </w:rPr>
        <w:t xml:space="preserve">2、请供应商如实填写，所填内容须与报价明细表一致，如填写不完整或不一致或填写错误，将不享受扶持政策。</w:t>
      </w:r>
      <w:r/>
    </w:p>
    <w:p>
      <w:pPr>
        <w:ind w:firstLine="480"/>
        <w:keepLines w:val="0"/>
        <w:keepNext/>
        <w:pageBreakBefore w:val="0"/>
        <w:widowControl/>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供应商的《中小企业声明函》随</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结果公开。</w:t>
      </w:r>
      <w:r/>
    </w:p>
    <w:p>
      <w:pPr>
        <w:keepLines w:val="0"/>
        <w:keepNext/>
        <w:pageBreakBefore w:val="0"/>
        <w:widowControl/>
        <w:rPr>
          <w:rFonts w:hint="eastAsia"/>
          <w:color w:val="auto"/>
          <w:highlight w:val="none"/>
        </w:rPr>
      </w:pPr>
      <w:r>
        <w:rPr>
          <w:rFonts w:hint="eastAsia" w:ascii="宋体" w:hAnsi="宋体" w:eastAsia="宋体"/>
          <w:b w:val="0"/>
          <w:color w:val="auto"/>
          <w:sz w:val="24"/>
          <w:szCs w:val="24"/>
          <w:highlight w:val="none"/>
        </w:rPr>
        <w:br w:type="page" w:clear="all"/>
      </w:r>
      <w:r>
        <w:rPr>
          <w:rFonts w:hint="eastAsia" w:ascii="宋体" w:hAnsi="宋体" w:eastAsia="宋体"/>
          <w:b w:val="0"/>
          <w:color w:val="auto"/>
          <w:sz w:val="24"/>
          <w:szCs w:val="24"/>
          <w:highlight w:val="none"/>
        </w:rPr>
        <w:t xml:space="preserve">格式6、残疾人福利性企业声明函</w:t>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r>
      <w:r/>
    </w:p>
    <w:p>
      <w:pPr>
        <w:ind w:firstLine="0"/>
        <w:jc w:val="center"/>
        <w:keepLines w:val="0"/>
        <w:keepNext/>
        <w:pageBreakBefore w:val="0"/>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残疾人福利性单位声明函</w:t>
      </w:r>
      <w:r/>
    </w:p>
    <w:p>
      <w:pPr>
        <w:pStyle w:val="1062"/>
        <w:keepLines w:val="0"/>
        <w:keepNext/>
        <w:pageBreakBefore w:val="0"/>
        <w:widowControl/>
        <w:rPr>
          <w:rFonts w:hint="eastAsia"/>
          <w:color w:val="auto"/>
          <w:sz w:val="18"/>
          <w:szCs w:val="18"/>
          <w:highlight w:val="none"/>
        </w:rPr>
      </w:pPr>
      <w:r>
        <w:rPr>
          <w:rFonts w:hint="eastAsia"/>
          <w:color w:val="auto"/>
          <w:sz w:val="18"/>
          <w:szCs w:val="18"/>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项目由本单位提供全部服务。</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2"/>
        <w:keepLines w:val="0"/>
        <w:keepNext/>
        <w:pageBreakBefore w:val="0"/>
        <w:spacing w:line="360" w:lineRule="auto"/>
        <w:widowControl/>
        <w:rPr>
          <w:rFonts w:ascii="宋体" w:hAnsi="宋体"/>
          <w:color w:val="auto"/>
          <w:sz w:val="24"/>
          <w:highlight w:val="none"/>
        </w:rPr>
      </w:pPr>
      <w:r>
        <w:rPr>
          <w:rFonts w:ascii="宋体" w:hAnsi="宋体"/>
          <w:color w:val="auto"/>
          <w:sz w:val="24"/>
          <w:highlight w:val="none"/>
        </w:rPr>
      </w:r>
      <w:r/>
    </w:p>
    <w:p>
      <w:pPr>
        <w:ind w:firstLine="482"/>
        <w:keepLines w:val="0"/>
        <w:keepNext/>
        <w:pageBreakBefore w:val="0"/>
        <w:spacing w:line="360" w:lineRule="auto"/>
        <w:widowControl/>
        <w:rPr>
          <w:rFonts w:ascii="宋体" w:hAnsi="宋体"/>
          <w:color w:val="auto"/>
          <w:sz w:val="24"/>
          <w:highlight w:val="none"/>
        </w:rPr>
      </w:pPr>
      <w:r>
        <w:rPr>
          <w:rFonts w:ascii="宋体" w:hAnsi="宋体"/>
          <w:color w:val="auto"/>
          <w:sz w:val="24"/>
          <w:highlight w:val="none"/>
        </w:rPr>
      </w:r>
      <w:r/>
    </w:p>
    <w:p>
      <w:pPr>
        <w:ind w:left="825" w:hanging="825"/>
        <w:jc w:val="left"/>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062"/>
        <w:ind w:left="0" w:firstLine="0"/>
        <w:keepLines w:val="0"/>
        <w:keepNext/>
        <w:pageBreakBefore w:val="0"/>
        <w:widowControl/>
        <w:rPr>
          <w:rFonts w:hint="eastAsia"/>
          <w:b/>
          <w:color w:val="auto"/>
          <w:sz w:val="22"/>
          <w:szCs w:val="21"/>
          <w:highlight w:val="none"/>
        </w:rPr>
      </w:pPr>
      <w:r>
        <w:rPr>
          <w:rFonts w:hint="eastAsia"/>
          <w:b/>
          <w:color w:val="auto"/>
          <w:sz w:val="22"/>
          <w:szCs w:val="21"/>
          <w:highlight w:val="none"/>
        </w:rPr>
      </w:r>
      <w:r/>
    </w:p>
    <w:p>
      <w:pPr>
        <w:ind w:firstLine="442"/>
        <w:keepLines w:val="0"/>
        <w:keepNext/>
        <w:pageBreakBefore w:val="0"/>
        <w:widowControl/>
        <w:rPr>
          <w:rFonts w:hint="eastAsia"/>
          <w:b/>
          <w:color w:val="auto"/>
          <w:sz w:val="22"/>
          <w:szCs w:val="21"/>
          <w:highlight w:val="none"/>
        </w:rPr>
      </w:pPr>
      <w:r>
        <w:rPr>
          <w:rFonts w:hint="eastAsia"/>
          <w:b/>
          <w:color w:val="auto"/>
          <w:sz w:val="22"/>
          <w:szCs w:val="21"/>
          <w:highlight w:val="none"/>
        </w:rPr>
      </w:r>
      <w:r/>
    </w:p>
    <w:p>
      <w:pPr>
        <w:ind w:firstLine="480"/>
        <w:keepLines w:val="0"/>
        <w:keepNext/>
        <w:pageBreakBefore w:val="0"/>
        <w:widowControl/>
        <w:rPr>
          <w:rFonts w:hint="eastAsia" w:ascii="宋体" w:hAnsi="宋体"/>
          <w:bCs/>
          <w:color w:val="auto"/>
          <w:sz w:val="24"/>
          <w:highlight w:val="none"/>
        </w:rPr>
      </w:pPr>
      <w:r>
        <w:rPr>
          <w:rFonts w:hint="eastAsia" w:ascii="宋体" w:hAnsi="宋体"/>
          <w:bCs/>
          <w:color w:val="auto"/>
          <w:sz w:val="24"/>
          <w:highlight w:val="none"/>
        </w:rPr>
      </w:r>
      <w:r/>
    </w:p>
    <w:p>
      <w:pPr>
        <w:ind w:firstLine="480"/>
        <w:keepLines w:val="0"/>
        <w:keepNext/>
        <w:pageBreakBefore w:val="0"/>
        <w:widowControl/>
        <w:rPr>
          <w:rFonts w:hint="eastAsia" w:ascii="宋体" w:hAnsi="宋体"/>
          <w:bCs/>
          <w:color w:val="auto"/>
          <w:sz w:val="24"/>
          <w:highlight w:val="none"/>
        </w:rPr>
      </w:pPr>
      <w:r>
        <w:rPr>
          <w:rFonts w:hint="eastAsia" w:ascii="宋体" w:hAnsi="宋体"/>
          <w:bCs/>
          <w:color w:val="auto"/>
          <w:sz w:val="24"/>
          <w:highlight w:val="none"/>
        </w:rPr>
        <w:t xml:space="preserve">填报说明：</w:t>
      </w:r>
      <w:r/>
    </w:p>
    <w:p>
      <w:pPr>
        <w:ind w:firstLine="480"/>
        <w:keepLines w:val="0"/>
        <w:keepNext/>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1、请供应商如实填写，所填内容将作为评审的依据。</w:t>
      </w:r>
      <w:r>
        <w:rPr>
          <w:rFonts w:hint="eastAsia" w:ascii="宋体" w:hAnsi="宋体"/>
          <w:color w:val="auto"/>
          <w:sz w:val="24"/>
          <w:szCs w:val="24"/>
          <w:highlight w:val="none"/>
        </w:rPr>
        <w:t xml:space="preserve">如填写不完整</w:t>
      </w:r>
      <w:r>
        <w:rPr>
          <w:rFonts w:hint="eastAsia" w:ascii="宋体" w:hAnsi="宋体"/>
          <w:color w:val="auto"/>
          <w:sz w:val="24"/>
          <w:highlight w:val="none"/>
        </w:rPr>
        <w:t xml:space="preserve">或填写有误</w:t>
      </w:r>
      <w:r>
        <w:rPr>
          <w:rFonts w:hint="eastAsia" w:ascii="宋体" w:hAnsi="宋体"/>
          <w:color w:val="auto"/>
          <w:sz w:val="24"/>
          <w:szCs w:val="24"/>
          <w:highlight w:val="none"/>
        </w:rPr>
        <w:t xml:space="preserve">，将不享受扶</w:t>
      </w:r>
      <w:r>
        <w:rPr>
          <w:rFonts w:hint="eastAsia" w:ascii="宋体" w:hAnsi="宋体"/>
          <w:bCs/>
          <w:color w:val="auto"/>
          <w:sz w:val="24"/>
          <w:szCs w:val="24"/>
          <w:highlight w:val="none"/>
        </w:rPr>
        <w:t xml:space="preserve">持政策。</w:t>
      </w:r>
      <w:r/>
    </w:p>
    <w:p>
      <w:pPr>
        <w:ind w:firstLine="480"/>
        <w:keepLines w:val="0"/>
        <w:keepNext/>
        <w:pageBreakBefore w:val="0"/>
        <w:spacing w:line="360" w:lineRule="auto"/>
        <w:widowControl/>
        <w:rPr>
          <w:b/>
          <w:color w:val="auto"/>
          <w:sz w:val="22"/>
          <w:szCs w:val="21"/>
          <w:highlight w:val="none"/>
        </w:rPr>
      </w:pPr>
      <w:r>
        <w:rPr>
          <w:rFonts w:hint="eastAsia" w:ascii="宋体" w:hAnsi="宋体"/>
          <w:bCs/>
          <w:color w:val="auto"/>
          <w:sz w:val="24"/>
          <w:szCs w:val="24"/>
          <w:highlight w:val="none"/>
        </w:rPr>
        <w:t xml:space="preserve">2、成交供应商的《残疾人福利性单位声明函》随成交结果公开。</w:t>
      </w:r>
      <w:r/>
    </w:p>
    <w:p>
      <w:pPr>
        <w:jc w:val="left"/>
        <w:keepLines w:val="0"/>
        <w:keepNext/>
        <w:pageBreakBefore w:val="0"/>
        <w:spacing w:before="120" w:after="120" w:line="360" w:lineRule="auto"/>
        <w:widowControl/>
        <w:rPr>
          <w:rFonts w:ascii="宋体" w:hAnsi="宋体"/>
          <w:bCs/>
          <w:color w:val="auto"/>
          <w:szCs w:val="24"/>
          <w:highlight w:val="none"/>
        </w:rPr>
        <w:outlineLvl w:val="1"/>
      </w:pPr>
      <w:r>
        <w:rPr>
          <w:color w:val="auto"/>
          <w:sz w:val="24"/>
          <w:szCs w:val="21"/>
          <w:highlight w:val="none"/>
        </w:rPr>
        <w:br w:type="page" w:clear="all"/>
      </w:r>
      <w:r>
        <w:rPr>
          <w:rFonts w:hint="eastAsia" w:ascii="宋体" w:hAnsi="宋体" w:eastAsia="宋体" w:cs="宋体"/>
          <w:bCs/>
          <w:color w:val="auto"/>
          <w:sz w:val="24"/>
          <w:szCs w:val="28"/>
          <w:highlight w:val="none"/>
        </w:rPr>
        <w:t xml:space="preserve">格式7、具备履行合同所必需的设备和专业技术能力的声明及证明材料</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具备履行合同所必需的设备和专业技术能力的声明</w:t>
      </w:r>
      <w:r/>
    </w:p>
    <w:p>
      <w:pPr>
        <w:pStyle w:val="1062"/>
        <w:keepLines w:val="0"/>
        <w:keepNext/>
        <w:pageBreakBefore w:val="0"/>
        <w:widowControl/>
        <w:rPr>
          <w:rFonts w:hint="eastAsia"/>
          <w:color w:val="auto"/>
          <w:sz w:val="18"/>
          <w:szCs w:val="18"/>
          <w:highlight w:val="none"/>
        </w:rPr>
      </w:pPr>
      <w:r>
        <w:rPr>
          <w:rFonts w:hint="eastAsia"/>
          <w:color w:val="auto"/>
          <w:sz w:val="18"/>
          <w:szCs w:val="18"/>
          <w:highlight w:val="none"/>
        </w:rPr>
      </w:r>
      <w:r/>
    </w:p>
    <w:p>
      <w:pPr>
        <w:ind w:firstLine="480"/>
        <w:keepLines w:val="0"/>
        <w:keepNext/>
        <w:pageBreakBefore w:val="0"/>
        <w:spacing w:line="360" w:lineRule="auto"/>
        <w:widowControl/>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pageBreakBefore w:val="0"/>
        <w:spacing w:line="360" w:lineRule="auto"/>
        <w:widowControl/>
        <w:rPr>
          <w:rFonts w:hint="eastAsia" w:ascii="MS Mincho" w:eastAsia="宋体"/>
          <w:color w:val="auto"/>
          <w:szCs w:val="24"/>
          <w:highlight w:val="none"/>
          <w:lang w:eastAsia="zh-CN"/>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val="en-US" w:eastAsia="zh-CN"/>
        </w:rPr>
        <w:t xml:space="preserve"> </w:t>
      </w:r>
      <w:r/>
    </w:p>
    <w:p>
      <w:pPr>
        <w:ind w:firstLine="480"/>
        <w:keepLines w:val="0"/>
        <w:keepNext/>
        <w:pageBreakBefore w:val="0"/>
        <w:spacing w:line="360" w:lineRule="auto"/>
        <w:widowControl/>
        <w:rPr>
          <w:rFonts w:hint="eastAsia" w:eastAsia="宋体"/>
          <w:color w:val="auto"/>
          <w:sz w:val="24"/>
          <w:szCs w:val="24"/>
          <w:highlight w:val="none"/>
          <w:lang w:eastAsia="zh-CN"/>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val="en-US" w:eastAsia="zh-CN"/>
        </w:rPr>
        <w:t xml:space="preserve"> </w:t>
      </w:r>
      <w:r/>
    </w:p>
    <w:p>
      <w:pPr>
        <w:ind w:firstLine="482"/>
        <w:keepLines w:val="0"/>
        <w:keepNext/>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注：须附证明材料。</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1、主要设备证明材料：</w:t>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2、主要专业技术能力证明材料：</w:t>
      </w:r>
      <w:r/>
    </w:p>
    <w:p>
      <w:pPr>
        <w:jc w:val="left"/>
        <w:keepLines w:val="0"/>
        <w:keepNext/>
        <w:pageBreakBefore w:val="0"/>
        <w:spacing w:line="360" w:lineRule="auto"/>
        <w:widowControl/>
        <w:rPr>
          <w:rFonts w:ascii="MS Mincho"/>
          <w:color w:val="auto"/>
          <w:szCs w:val="24"/>
          <w:highlight w:val="none"/>
        </w:rPr>
      </w:pPr>
      <w:r>
        <w:rPr>
          <w:rFonts w:ascii="MS Mincho"/>
          <w:color w:val="auto"/>
          <w:szCs w:val="24"/>
          <w:highlight w:val="none"/>
        </w:rPr>
      </w:r>
      <w:r/>
    </w:p>
    <w:p>
      <w:pPr>
        <w:ind w:firstLine="480"/>
        <w:keepLines w:val="0"/>
        <w:keepNext/>
        <w:pageBreakBefore w:val="0"/>
        <w:spacing w:line="360" w:lineRule="auto"/>
        <w:widowControl/>
        <w:rPr>
          <w:color w:val="auto"/>
          <w:sz w:val="24"/>
          <w:szCs w:val="24"/>
          <w:highlight w:val="none"/>
        </w:rPr>
      </w:pPr>
      <w:r>
        <w:rPr>
          <w:color w:val="auto"/>
          <w:sz w:val="24"/>
          <w:szCs w:val="24"/>
          <w:highlight w:val="none"/>
        </w:rPr>
      </w:r>
      <w:r/>
    </w:p>
    <w:p>
      <w:pPr>
        <w:ind w:left="0" w:firstLine="462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ind w:firstLine="480"/>
        <w:keepLines w:val="0"/>
        <w:keepNext/>
        <w:pageBreakBefore w:val="0"/>
        <w:spacing w:line="360" w:lineRule="auto"/>
        <w:widowControl/>
        <w:rPr>
          <w:color w:val="auto"/>
          <w:sz w:val="24"/>
          <w:szCs w:val="24"/>
          <w:highlight w:val="none"/>
        </w:rPr>
      </w:pPr>
      <w:r>
        <w:rPr>
          <w:color w:val="auto"/>
          <w:sz w:val="24"/>
          <w:szCs w:val="24"/>
          <w:highlight w:val="none"/>
        </w:rPr>
      </w:r>
      <w:r/>
    </w:p>
    <w:p>
      <w:pPr>
        <w:ind w:firstLine="492"/>
        <w:keepLines w:val="0"/>
        <w:keepNext/>
        <w:pageBreakBefore w:val="0"/>
        <w:spacing w:line="360" w:lineRule="auto"/>
        <w:widowControl/>
        <w:rPr>
          <w:color w:val="auto"/>
          <w:sz w:val="24"/>
          <w:szCs w:val="24"/>
          <w:highlight w:val="none"/>
        </w:rPr>
      </w:pPr>
      <w:r>
        <w:rPr>
          <w:color w:val="auto"/>
          <w:sz w:val="24"/>
          <w:szCs w:val="24"/>
          <w:highlight w:val="none"/>
        </w:rPr>
      </w:r>
      <w:r/>
    </w:p>
    <w:p>
      <w:pPr>
        <w:keepLines w:val="0"/>
        <w:keepNext/>
        <w:pageBreakBefore w:val="0"/>
        <w:spacing w:line="360" w:lineRule="auto"/>
        <w:widowControl/>
        <w:rPr>
          <w:color w:val="auto"/>
          <w:sz w:val="24"/>
          <w:szCs w:val="24"/>
          <w:highlight w:val="none"/>
        </w:rPr>
      </w:pPr>
      <w:r>
        <w:rPr>
          <w:color w:val="auto"/>
          <w:sz w:val="24"/>
          <w:szCs w:val="24"/>
          <w:highlight w:val="none"/>
        </w:rPr>
      </w:r>
      <w:r/>
    </w:p>
    <w:p>
      <w:pPr>
        <w:ind w:firstLine="5400"/>
        <w:keepLines w:val="0"/>
        <w:keepNext/>
        <w:pageBreakBefore w:val="0"/>
        <w:spacing w:line="360" w:lineRule="auto"/>
        <w:widowControl/>
        <w:rPr>
          <w:color w:val="auto"/>
          <w:sz w:val="24"/>
          <w:szCs w:val="24"/>
          <w:highlight w:val="none"/>
        </w:rPr>
      </w:pPr>
      <w:r>
        <w:rPr>
          <w:color w:val="auto"/>
          <w:sz w:val="24"/>
          <w:szCs w:val="24"/>
          <w:highlight w:val="none"/>
        </w:rPr>
      </w:r>
      <w:r/>
    </w:p>
    <w:p>
      <w:pPr>
        <w:jc w:val="left"/>
        <w:keepLines w:val="0"/>
        <w:keepNext/>
        <w:pageBreakBefore w:val="0"/>
        <w:spacing w:before="120" w:after="120" w:line="360" w:lineRule="auto"/>
        <w:widowControl/>
        <w:rPr>
          <w:rFonts w:ascii="宋体" w:hAnsi="宋体"/>
          <w:b/>
          <w:bCs/>
          <w:color w:val="auto"/>
          <w:sz w:val="44"/>
          <w:szCs w:val="44"/>
          <w:highlight w:val="none"/>
        </w:rPr>
        <w:outlineLvl w:val="1"/>
      </w:pPr>
      <w:r>
        <w:rPr>
          <w:b/>
          <w:color w:val="auto"/>
          <w:sz w:val="24"/>
          <w:szCs w:val="24"/>
          <w:highlight w:val="none"/>
        </w:rPr>
        <w:br w:type="page" w:clear="all"/>
      </w:r>
      <w:r>
        <w:rPr>
          <w:rFonts w:hint="eastAsia" w:ascii="宋体" w:hAnsi="宋体" w:eastAsia="宋体" w:cs="宋体"/>
          <w:bCs/>
          <w:color w:val="auto"/>
          <w:sz w:val="24"/>
          <w:szCs w:val="28"/>
          <w:highlight w:val="none"/>
        </w:rPr>
        <w:t xml:space="preserve">格式8、参加政府采购活动前 3 年内在经营活动中没有重大违法记录的书面声明</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声  明 </w:t>
      </w:r>
      <w:r/>
    </w:p>
    <w:p>
      <w:pPr>
        <w:ind w:firstLine="480"/>
        <w:keepLines w:val="0"/>
        <w:keepNext/>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keepLines w:val="0"/>
        <w:keepNext/>
        <w:pageBreakBefore w:val="0"/>
        <w:spacing w:line="360" w:lineRule="auto"/>
        <w:widowControl/>
        <w:rPr>
          <w:rFonts w:ascii="宋体" w:hAnsi="宋体"/>
          <w:bCs/>
          <w:color w:val="auto"/>
          <w:sz w:val="24"/>
          <w:szCs w:val="24"/>
          <w:highlight w:val="none"/>
        </w:rPr>
      </w:pPr>
      <w:r>
        <w:rPr>
          <w:rFonts w:hint="eastAsia" w:ascii="宋体" w:hAnsi="宋体"/>
          <w:bCs/>
          <w:color w:val="auto"/>
          <w:sz w:val="24"/>
          <w:szCs w:val="24"/>
          <w:highlight w:val="none"/>
        </w:rPr>
        <w:t xml:space="preserve">                                      </w:t>
      </w:r>
      <w:r/>
    </w:p>
    <w:p>
      <w:pPr>
        <w:jc w:val="left"/>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ind w:left="0" w:firstLine="484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jc w:val="left"/>
        <w:keepLines w:val="0"/>
        <w:keepNext/>
        <w:pageBreakBefore w:val="0"/>
        <w:spacing w:before="120" w:after="120" w:line="360" w:lineRule="auto"/>
        <w:widowControl/>
        <w:rPr>
          <w:rFonts w:hAnsi="宋体"/>
          <w:b/>
          <w:color w:val="auto"/>
          <w:sz w:val="30"/>
          <w:szCs w:val="30"/>
          <w:highlight w:val="none"/>
        </w:rPr>
        <w:outlineLvl w:val="1"/>
      </w:pPr>
      <w:r>
        <w:rPr>
          <w:rFonts w:ascii="宋体" w:hAnsi="宋体"/>
          <w:bCs/>
          <w:color w:val="auto"/>
          <w:szCs w:val="24"/>
          <w:highlight w:val="none"/>
        </w:rPr>
        <w:br w:type="page" w:clear="all"/>
      </w:r>
      <w:r>
        <w:rPr>
          <w:rFonts w:hint="eastAsia" w:ascii="宋体" w:hAnsi="宋体" w:eastAsia="宋体" w:cs="宋体"/>
          <w:bCs/>
          <w:color w:val="auto"/>
          <w:sz w:val="24"/>
          <w:szCs w:val="28"/>
          <w:highlight w:val="none"/>
        </w:rPr>
        <w:t xml:space="preserve">格式9、授权委托书与法定代表人（单位负责人）身份证明</w:t>
      </w:r>
      <w:r/>
    </w:p>
    <w:p>
      <w:pPr>
        <w:jc w:val="center"/>
        <w:keepLines w:val="0"/>
        <w:keepNext/>
        <w:pageBreakBefore w:val="0"/>
        <w:spacing w:line="360" w:lineRule="auto"/>
        <w:widowControl/>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keepLines w:val="0"/>
        <w:keepNext/>
        <w:pageBreakBefore w:val="0"/>
        <w:spacing w:line="360" w:lineRule="auto"/>
        <w:widowControl/>
        <w:rPr>
          <w:rFonts w:hint="eastAsia" w:ascii="宋体" w:hAnsi="宋体" w:eastAsia="宋体"/>
          <w:color w:val="auto"/>
          <w:sz w:val="24"/>
          <w:szCs w:val="20"/>
          <w:highlight w:val="none"/>
          <w:lang w:eastAsia="zh-CN"/>
        </w:rPr>
      </w:pPr>
      <w:r>
        <w:rPr>
          <w:rFonts w:ascii="宋体" w:hAnsi="宋体"/>
          <w:color w:val="auto"/>
          <w:sz w:val="24"/>
          <w:szCs w:val="24"/>
          <w:highlight w:val="none"/>
        </w:rPr>
        <w:t xml:space="preserve">致：</w:t>
      </w:r>
      <w:r>
        <w:rPr>
          <w:rFonts w:hint="eastAsia" w:ascii="宋体" w:hAnsi="宋体" w:eastAsia="宋体" w:cs="宋体"/>
          <w:color w:val="auto"/>
          <w:sz w:val="24"/>
          <w:highlight w:val="none"/>
        </w:rPr>
        <w:t xml:space="preserve">【采购单位】</w:t>
      </w:r>
      <w:r/>
    </w:p>
    <w:p>
      <w:pPr>
        <w:ind w:firstLine="420"/>
        <w:keepLines w:val="0"/>
        <w:keepNext/>
        <w:pageBreakBefore w:val="0"/>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本人</w:t>
      </w:r>
      <w:r>
        <w:rPr>
          <w:rFonts w:ascii="宋体" w:hAnsi="宋体"/>
          <w:color w:val="auto"/>
          <w:sz w:val="24"/>
          <w:szCs w:val="24"/>
          <w:highlight w:val="none"/>
          <w:lang w:val="zh-CN"/>
        </w:rPr>
        <w:t xml:space="preserve">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姓名</w:t>
      </w:r>
      <w:r>
        <w:rPr>
          <w:rFonts w:ascii="宋体" w:hAnsi="宋体"/>
          <w:color w:val="auto"/>
          <w:sz w:val="24"/>
          <w:szCs w:val="20"/>
          <w:highlight w:val="none"/>
        </w:rPr>
        <w:t xml:space="preserve">）</w:t>
      </w:r>
      <w:r>
        <w:rPr>
          <w:rFonts w:hint="eastAsia" w:ascii="宋体" w:hAnsi="宋体"/>
          <w:color w:val="auto"/>
          <w:sz w:val="24"/>
          <w:szCs w:val="20"/>
          <w:highlight w:val="none"/>
        </w:rPr>
        <w:t xml:space="preserve">系</w:t>
      </w:r>
      <w:r>
        <w:rPr>
          <w:rFonts w:ascii="宋体" w:hAnsi="宋体"/>
          <w:color w:val="auto"/>
          <w:sz w:val="24"/>
          <w:szCs w:val="24"/>
          <w:highlight w:val="none"/>
          <w:lang w:val="zh-CN"/>
        </w:rPr>
        <w:t xml:space="preserve">________________</w:t>
      </w:r>
      <w:r>
        <w:rPr>
          <w:rFonts w:ascii="宋体" w:hAnsi="宋体"/>
          <w:color w:val="auto"/>
          <w:sz w:val="24"/>
          <w:szCs w:val="20"/>
          <w:highlight w:val="none"/>
        </w:rPr>
        <w:t xml:space="preserve">（供应商名称）</w:t>
      </w:r>
      <w:r>
        <w:rPr>
          <w:rFonts w:hint="eastAsia" w:ascii="宋体" w:hAnsi="宋体"/>
          <w:color w:val="auto"/>
          <w:sz w:val="24"/>
          <w:szCs w:val="20"/>
          <w:highlight w:val="none"/>
        </w:rPr>
        <w:t xml:space="preserve">的</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单位</w:t>
      </w:r>
      <w:r>
        <w:rPr>
          <w:rFonts w:ascii="宋体" w:hAnsi="宋体"/>
          <w:color w:val="auto"/>
          <w:sz w:val="24"/>
          <w:szCs w:val="20"/>
          <w:highlight w:val="none"/>
        </w:rPr>
        <w:t xml:space="preserve">负责人）</w:t>
      </w:r>
      <w:r>
        <w:rPr>
          <w:rFonts w:hint="eastAsia" w:ascii="宋体" w:hAnsi="宋体"/>
          <w:color w:val="auto"/>
          <w:sz w:val="24"/>
          <w:szCs w:val="20"/>
          <w:highlight w:val="none"/>
        </w:rPr>
        <w:t xml:space="preserve">，</w:t>
      </w:r>
      <w:r>
        <w:rPr>
          <w:rFonts w:ascii="宋体" w:hAnsi="宋体"/>
          <w:color w:val="auto"/>
          <w:sz w:val="24"/>
          <w:szCs w:val="20"/>
          <w:highlight w:val="none"/>
        </w:rPr>
        <w:t xml:space="preserve">现委托</w:t>
      </w:r>
      <w:r>
        <w:rPr>
          <w:rFonts w:ascii="宋体" w:hAnsi="宋体"/>
          <w:color w:val="auto"/>
          <w:sz w:val="24"/>
          <w:szCs w:val="24"/>
          <w:highlight w:val="none"/>
          <w:lang w:val="zh-CN"/>
        </w:rPr>
        <w:t xml:space="preserve">_______</w:t>
      </w:r>
      <w:r>
        <w:rPr>
          <w:rFonts w:ascii="宋体" w:hAnsi="宋体"/>
          <w:color w:val="auto"/>
          <w:sz w:val="24"/>
          <w:szCs w:val="20"/>
          <w:highlight w:val="none"/>
        </w:rPr>
        <w:t xml:space="preserve">（</w:t>
      </w:r>
      <w:r>
        <w:rPr>
          <w:rFonts w:hint="eastAsia" w:ascii="宋体" w:hAnsi="宋体"/>
          <w:color w:val="auto"/>
          <w:sz w:val="24"/>
          <w:szCs w:val="20"/>
          <w:highlight w:val="none"/>
        </w:rPr>
        <w:t xml:space="preserve">姓名</w:t>
      </w:r>
      <w:r>
        <w:rPr>
          <w:rFonts w:ascii="宋体" w:hAnsi="宋体"/>
          <w:color w:val="auto"/>
          <w:sz w:val="24"/>
          <w:szCs w:val="20"/>
          <w:highlight w:val="none"/>
        </w:rPr>
        <w:t xml:space="preserve">）</w:t>
      </w:r>
      <w:r>
        <w:rPr>
          <w:rFonts w:hint="eastAsia" w:ascii="宋体" w:hAnsi="宋体"/>
          <w:color w:val="auto"/>
          <w:sz w:val="24"/>
          <w:szCs w:val="20"/>
          <w:highlight w:val="none"/>
        </w:rPr>
        <w:t xml:space="preserve">为</w:t>
      </w:r>
      <w:r>
        <w:rPr>
          <w:rFonts w:ascii="宋体" w:hAnsi="宋体"/>
          <w:color w:val="auto"/>
          <w:sz w:val="24"/>
          <w:szCs w:val="20"/>
          <w:highlight w:val="none"/>
        </w:rPr>
        <w:t xml:space="preserve">我方代理人。</w:t>
      </w:r>
      <w:r>
        <w:rPr>
          <w:rFonts w:hint="eastAsia" w:ascii="宋体" w:hAnsi="宋体"/>
          <w:color w:val="auto"/>
          <w:sz w:val="24"/>
          <w:szCs w:val="20"/>
          <w:highlight w:val="none"/>
        </w:rPr>
        <w:t xml:space="preserve">代理人根据</w:t>
      </w:r>
      <w:r>
        <w:rPr>
          <w:rFonts w:ascii="宋体" w:hAnsi="宋体"/>
          <w:color w:val="auto"/>
          <w:sz w:val="24"/>
          <w:szCs w:val="20"/>
          <w:highlight w:val="none"/>
        </w:rPr>
        <w:t xml:space="preserve">授权，以我方名义签署、澄清确认、递交、撤回、修改</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项目（</w:t>
      </w:r>
      <w:r>
        <w:rPr>
          <w:rFonts w:hint="eastAsia"/>
          <w:color w:val="auto"/>
          <w:sz w:val="24"/>
          <w:szCs w:val="24"/>
          <w:highlight w:val="none"/>
          <w:lang w:val="en-US" w:eastAsia="zh-CN"/>
        </w:rPr>
        <w:t xml:space="preserve">项目</w:t>
      </w:r>
      <w:r>
        <w:rPr>
          <w:rFonts w:hint="eastAsia"/>
          <w:color w:val="auto"/>
          <w:sz w:val="24"/>
          <w:szCs w:val="24"/>
          <w:highlight w:val="none"/>
        </w:rPr>
        <w:t xml:space="preserve">编号：</w:t>
      </w:r>
      <w:r>
        <w:rPr>
          <w:rFonts w:hint="eastAsia"/>
          <w:color w:val="auto"/>
          <w:sz w:val="24"/>
          <w:szCs w:val="24"/>
          <w:highlight w:val="none"/>
          <w:u w:val="single"/>
        </w:rPr>
        <w:t xml:space="preserve">         </w:t>
      </w:r>
      <w:r>
        <w:rPr>
          <w:rFonts w:hint="eastAsia"/>
          <w:color w:val="auto"/>
          <w:sz w:val="24"/>
          <w:szCs w:val="24"/>
          <w:highlight w:val="none"/>
        </w:rPr>
        <w:t xml:space="preserve">）</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文件</w:t>
      </w:r>
      <w:r>
        <w:rPr>
          <w:rFonts w:hint="eastAsia" w:ascii="宋体" w:hAnsi="宋体"/>
          <w:color w:val="auto"/>
          <w:sz w:val="24"/>
          <w:szCs w:val="20"/>
          <w:highlight w:val="none"/>
        </w:rPr>
        <w:t xml:space="preserve">和</w:t>
      </w:r>
      <w:r>
        <w:rPr>
          <w:rFonts w:ascii="宋体" w:hAnsi="宋体"/>
          <w:color w:val="auto"/>
          <w:sz w:val="24"/>
          <w:szCs w:val="20"/>
          <w:highlight w:val="none"/>
        </w:rPr>
        <w:t xml:space="preserve">处理有关事宜，其法律后果由我方承担。</w:t>
      </w:r>
      <w:r/>
    </w:p>
    <w:p>
      <w:pPr>
        <w:ind w:firstLine="420"/>
        <w:keepLines w:val="0"/>
        <w:keepNext/>
        <w:pageBreakBefore w:val="0"/>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委托</w:t>
      </w:r>
      <w:r>
        <w:rPr>
          <w:rFonts w:ascii="宋体" w:hAnsi="宋体"/>
          <w:color w:val="auto"/>
          <w:sz w:val="24"/>
          <w:szCs w:val="20"/>
          <w:highlight w:val="none"/>
        </w:rPr>
        <w:t xml:space="preserve">期限：自本</w:t>
      </w:r>
      <w:r>
        <w:rPr>
          <w:rFonts w:hint="eastAsia" w:ascii="宋体" w:hAnsi="宋体"/>
          <w:color w:val="auto"/>
          <w:sz w:val="24"/>
          <w:szCs w:val="20"/>
          <w:highlight w:val="none"/>
        </w:rPr>
        <w:t xml:space="preserve">授权</w:t>
      </w:r>
      <w:r>
        <w:rPr>
          <w:rFonts w:ascii="宋体" w:hAnsi="宋体"/>
          <w:color w:val="auto"/>
          <w:sz w:val="24"/>
          <w:szCs w:val="20"/>
          <w:highlight w:val="none"/>
        </w:rPr>
        <w:t xml:space="preserve">委托书签署之日起至</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有效期</w:t>
      </w:r>
      <w:r>
        <w:rPr>
          <w:rFonts w:hint="eastAsia" w:ascii="宋体" w:hAnsi="宋体"/>
          <w:color w:val="auto"/>
          <w:sz w:val="24"/>
          <w:szCs w:val="20"/>
          <w:highlight w:val="none"/>
        </w:rPr>
        <w:t xml:space="preserve">届满</w:t>
      </w:r>
      <w:r>
        <w:rPr>
          <w:rFonts w:ascii="宋体" w:hAnsi="宋体"/>
          <w:color w:val="auto"/>
          <w:sz w:val="24"/>
          <w:szCs w:val="20"/>
          <w:highlight w:val="none"/>
        </w:rPr>
        <w:t xml:space="preserve">之日止。</w:t>
      </w:r>
      <w:r/>
    </w:p>
    <w:p>
      <w:pPr>
        <w:ind w:firstLine="420"/>
        <w:keepLines w:val="0"/>
        <w:keepNext/>
        <w:pageBreakBefore w:val="0"/>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代理人</w:t>
      </w:r>
      <w:r>
        <w:rPr>
          <w:rFonts w:ascii="宋体" w:hAnsi="宋体"/>
          <w:color w:val="auto"/>
          <w:sz w:val="24"/>
          <w:szCs w:val="20"/>
          <w:highlight w:val="none"/>
        </w:rPr>
        <w:t xml:space="preserve">无转委托权。</w:t>
      </w:r>
      <w:r/>
    </w:p>
    <w:p>
      <w:pPr>
        <w:keepLines w:val="0"/>
        <w:keepNext/>
        <w:pageBreakBefore w:val="0"/>
        <w:spacing w:line="360" w:lineRule="auto"/>
        <w:widowControl/>
        <w:rPr>
          <w:rFonts w:ascii="宋体" w:hAnsi="宋体"/>
          <w:color w:val="auto"/>
          <w:sz w:val="24"/>
          <w:szCs w:val="24"/>
          <w:highlight w:val="none"/>
          <w:lang w:val="zh-CN"/>
        </w:rPr>
      </w:pPr>
      <w:r>
        <w:rPr>
          <w:rFonts w:hint="eastAsia" w:ascii="宋体" w:hAnsi="宋体"/>
          <w:bCs/>
          <w:color w:val="auto"/>
          <w:sz w:val="24"/>
          <w:szCs w:val="24"/>
          <w:highlight w:val="none"/>
        </w:rPr>
        <w:t xml:space="preserve">供应商</w:t>
      </w:r>
      <w:r>
        <w:rPr>
          <w:rFonts w:ascii="宋体" w:hAnsi="宋体"/>
          <w:color w:val="auto"/>
          <w:sz w:val="24"/>
          <w:szCs w:val="24"/>
          <w:highlight w:val="none"/>
        </w:rPr>
        <w:t xml:space="preserve">名称（加盖公章）</w:t>
      </w:r>
      <w:r>
        <w:rPr>
          <w:rFonts w:ascii="宋体" w:hAnsi="宋体"/>
          <w:color w:val="auto"/>
          <w:sz w:val="24"/>
          <w:szCs w:val="24"/>
          <w:highlight w:val="none"/>
          <w:lang w:val="zh-CN"/>
        </w:rPr>
        <w:t xml:space="preserve">：________________</w:t>
      </w:r>
      <w:r/>
    </w:p>
    <w:p>
      <w:pPr>
        <w:keepLines w:val="0"/>
        <w:keepNext/>
        <w:pageBreakBefore w:val="0"/>
        <w:spacing w:line="360" w:lineRule="auto"/>
        <w:widowControl/>
        <w:rPr>
          <w:rFonts w:ascii="宋体" w:hAnsi="宋体"/>
          <w:color w:val="auto"/>
          <w:sz w:val="24"/>
          <w:szCs w:val="20"/>
          <w:highlight w:val="none"/>
        </w:rPr>
      </w:pPr>
      <w:r>
        <w:rPr>
          <w:rFonts w:ascii="宋体" w:hAnsi="宋体"/>
          <w:color w:val="auto"/>
          <w:sz w:val="24"/>
          <w:szCs w:val="20"/>
          <w:highlight w:val="none"/>
        </w:rPr>
        <w:t xml:space="preserve">法定代表人（单位负责人）（签字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ascii="宋体" w:hAnsi="宋体"/>
          <w:color w:val="auto"/>
          <w:sz w:val="24"/>
          <w:szCs w:val="20"/>
          <w:highlight w:val="none"/>
        </w:rPr>
        <w:t xml:space="preserve">：</w:t>
      </w:r>
      <w:r>
        <w:rPr>
          <w:rFonts w:ascii="宋体" w:hAnsi="宋体"/>
          <w:color w:val="auto"/>
          <w:sz w:val="24"/>
          <w:szCs w:val="24"/>
          <w:highlight w:val="none"/>
          <w:lang w:val="zh-CN"/>
        </w:rPr>
        <w:t xml:space="preserve">________________</w:t>
      </w:r>
      <w:r/>
    </w:p>
    <w:p>
      <w:pPr>
        <w:keepLines w:val="0"/>
        <w:keepNext/>
        <w:pageBreakBefore w:val="0"/>
        <w:spacing w:line="360" w:lineRule="auto"/>
        <w:widowControl/>
        <w:rPr>
          <w:rFonts w:ascii="宋体" w:hAnsi="宋体"/>
          <w:color w:val="auto"/>
          <w:sz w:val="24"/>
          <w:szCs w:val="24"/>
          <w:highlight w:val="none"/>
          <w:lang w:val="zh-CN"/>
        </w:rPr>
      </w:pPr>
      <w:r>
        <w:rPr>
          <w:rFonts w:hint="eastAsia" w:ascii="宋体" w:hAnsi="宋体"/>
          <w:color w:val="auto"/>
          <w:sz w:val="24"/>
          <w:szCs w:val="24"/>
          <w:highlight w:val="none"/>
        </w:rPr>
        <w:t xml:space="preserve">委托代理</w:t>
      </w:r>
      <w:r>
        <w:rPr>
          <w:rFonts w:ascii="宋体" w:hAnsi="宋体"/>
          <w:color w:val="auto"/>
          <w:sz w:val="24"/>
          <w:szCs w:val="24"/>
          <w:highlight w:val="none"/>
        </w:rPr>
        <w:t xml:space="preserve">人（签字</w:t>
      </w:r>
      <w:r>
        <w:rPr>
          <w:rFonts w:hint="eastAsia" w:ascii="宋体" w:hAnsi="宋体"/>
          <w:color w:val="auto"/>
          <w:sz w:val="24"/>
          <w:szCs w:val="24"/>
          <w:highlight w:val="none"/>
        </w:rPr>
        <w:t xml:space="preserve">/签章</w:t>
      </w:r>
      <w:r>
        <w:rPr>
          <w:rFonts w:ascii="宋体" w:hAnsi="宋体"/>
          <w:color w:val="auto"/>
          <w:sz w:val="24"/>
          <w:szCs w:val="24"/>
          <w:highlight w:val="none"/>
        </w:rPr>
        <w:t xml:space="preserve">）：</w:t>
      </w:r>
      <w:r>
        <w:rPr>
          <w:rFonts w:ascii="宋体" w:hAnsi="宋体"/>
          <w:color w:val="auto"/>
          <w:sz w:val="24"/>
          <w:szCs w:val="24"/>
          <w:highlight w:val="none"/>
          <w:lang w:val="zh-CN"/>
        </w:rPr>
        <w:t xml:space="preserve">________________</w:t>
      </w:r>
      <w:r>
        <w:rPr>
          <w:rFonts w:ascii="宋体" w:hAnsi="宋体"/>
          <w:color w:val="auto"/>
          <w:sz w:val="24"/>
          <w:szCs w:val="24"/>
          <w:highlight w:val="none"/>
        </w:rPr>
        <w:t xml:space="preserve">    </w:t>
      </w:r>
      <w:r>
        <w:rPr>
          <w:rFonts w:ascii="宋体" w:hAnsi="宋体"/>
          <w:color w:val="auto"/>
          <w:sz w:val="24"/>
          <w:szCs w:val="24"/>
          <w:highlight w:val="none"/>
          <w:lang w:val="zh-CN"/>
        </w:rPr>
        <w:t xml:space="preserve">                      </w:t>
      </w:r>
      <w:r/>
    </w:p>
    <w:p>
      <w:pPr>
        <w:keepLines w:val="0"/>
        <w:keepNext/>
        <w:pageBreakBefore w:val="0"/>
        <w:spacing w:line="360" w:lineRule="auto"/>
        <w:widowControl/>
        <w:rPr>
          <w:rFonts w:ascii="宋体" w:hAnsi="宋体"/>
          <w:color w:val="auto"/>
          <w:sz w:val="24"/>
          <w:szCs w:val="24"/>
          <w:highlight w:val="none"/>
          <w:lang w:val="zh-CN"/>
        </w:rPr>
      </w:pPr>
      <w:r>
        <w:rPr>
          <w:rFonts w:ascii="宋体" w:hAnsi="宋体"/>
          <w:color w:val="auto"/>
          <w:sz w:val="24"/>
          <w:szCs w:val="24"/>
          <w:highlight w:val="none"/>
        </w:rPr>
        <w:t xml:space="preserve">日期：_____年______月______日</w:t>
      </w:r>
      <w:r/>
    </w:p>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5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47"/>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5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168"/>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填报说明</w:t>
      </w:r>
      <w:r>
        <w:rPr>
          <w:rFonts w:ascii="宋体" w:hAnsi="宋体"/>
          <w:color w:val="auto"/>
          <w:sz w:val="24"/>
          <w:szCs w:val="20"/>
          <w:highlight w:val="none"/>
        </w:rPr>
        <w:t xml:space="preserve">：</w:t>
      </w:r>
      <w:r/>
    </w:p>
    <w:p>
      <w:pPr>
        <w:ind w:firstLine="480"/>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1、若供应商为事业单位或其他组织或分支机构（仅当磋商文件注明允许分支机构参与的），则法定代表人（单位负责人）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ind w:firstLine="480"/>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若响应文件中全部签字之处均为法定代表人（单位负责人）本人签署，则可不提供本《</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》，但须提供</w:t>
      </w:r>
      <w:r>
        <w:rPr>
          <w:rFonts w:hint="eastAsia" w:ascii="宋体" w:hAnsi="宋体"/>
          <w:color w:val="auto"/>
          <w:sz w:val="24"/>
          <w:szCs w:val="20"/>
          <w:highlight w:val="none"/>
        </w:rPr>
        <w:t xml:space="preserve">《</w:t>
      </w:r>
      <w:r>
        <w:rPr>
          <w:rFonts w:ascii="宋体" w:hAnsi="宋体"/>
          <w:color w:val="auto"/>
          <w:sz w:val="24"/>
          <w:szCs w:val="20"/>
          <w:highlight w:val="none"/>
        </w:rPr>
        <w:t xml:space="preserve">法定代表人（单位负责人）身份证</w:t>
      </w:r>
      <w:r>
        <w:rPr>
          <w:rFonts w:hint="eastAsia" w:ascii="宋体" w:hAnsi="宋体"/>
          <w:color w:val="auto"/>
          <w:sz w:val="24"/>
          <w:szCs w:val="20"/>
          <w:highlight w:val="none"/>
        </w:rPr>
        <w:t xml:space="preserve">明》</w:t>
      </w:r>
      <w:r>
        <w:rPr>
          <w:rFonts w:ascii="宋体" w:hAnsi="宋体"/>
          <w:color w:val="auto"/>
          <w:sz w:val="24"/>
          <w:szCs w:val="20"/>
          <w:highlight w:val="none"/>
        </w:rPr>
        <w:t xml:space="preserve">。</w:t>
      </w:r>
      <w:r/>
    </w:p>
    <w:p>
      <w:pPr>
        <w:ind w:firstLine="480"/>
        <w:jc w:val="left"/>
        <w:keepLines w:val="0"/>
        <w:keepNext/>
        <w:pageBreakBefore w:val="0"/>
        <w:spacing w:line="360" w:lineRule="auto"/>
        <w:widowControl/>
        <w:tabs>
          <w:tab w:val="left" w:pos="5580" w:leader="none"/>
        </w:tabs>
        <w:rPr>
          <w:rFonts w:ascii="宋体" w:hAnsi="宋体"/>
          <w:b/>
          <w:color w:val="auto"/>
          <w:sz w:val="36"/>
          <w:szCs w:val="36"/>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both"/>
        <w:keepLines w:val="0"/>
        <w:keepNext/>
        <w:pageBreakBefore w:val="0"/>
        <w:spacing w:line="360" w:lineRule="auto"/>
        <w:widowControl/>
        <w:rPr>
          <w:rFonts w:ascii="宋体" w:hAnsi="宋体"/>
          <w:b/>
          <w:color w:val="auto"/>
          <w:sz w:val="36"/>
          <w:szCs w:val="36"/>
          <w:highlight w:val="none"/>
        </w:rPr>
      </w:pPr>
      <w:r>
        <w:rPr>
          <w:rFonts w:ascii="宋体" w:hAnsi="宋体"/>
          <w:b/>
          <w:color w:val="auto"/>
          <w:sz w:val="36"/>
          <w:szCs w:val="36"/>
          <w:highlight w:val="none"/>
        </w:rPr>
      </w:r>
      <w:r/>
    </w:p>
    <w:p>
      <w:pPr>
        <w:jc w:val="center"/>
        <w:keepLines w:val="0"/>
        <w:keepNext/>
        <w:pageBreakBefore w:val="0"/>
        <w:spacing w:line="360" w:lineRule="auto"/>
        <w:widowControl/>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keepLines w:val="0"/>
        <w:keepNext/>
        <w:pageBreakBefore w:val="0"/>
        <w:spacing w:line="360" w:lineRule="auto"/>
        <w:widowControl/>
        <w:rPr>
          <w:rFonts w:ascii="宋体" w:hAnsi="宋体"/>
          <w:color w:val="auto"/>
          <w:sz w:val="20"/>
          <w:szCs w:val="20"/>
          <w:highlight w:val="none"/>
        </w:rPr>
      </w:pPr>
      <w:r>
        <w:rPr>
          <w:rFonts w:ascii="宋体" w:hAnsi="宋体"/>
          <w:color w:val="auto"/>
          <w:sz w:val="20"/>
          <w:szCs w:val="20"/>
          <w:highlight w:val="none"/>
        </w:rPr>
      </w:r>
      <w:r/>
    </w:p>
    <w:p>
      <w:pPr>
        <w:keepLines w:val="0"/>
        <w:keepNext/>
        <w:pageBreakBefore w:val="0"/>
        <w:spacing w:line="360" w:lineRule="auto"/>
        <w:widowControl/>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致：</w:t>
      </w:r>
      <w:r>
        <w:rPr>
          <w:rFonts w:hint="eastAsia" w:ascii="宋体" w:hAnsi="宋体" w:eastAsia="宋体" w:cs="宋体"/>
          <w:color w:val="auto"/>
          <w:sz w:val="24"/>
          <w:highlight w:val="none"/>
        </w:rPr>
        <w:t xml:space="preserve">【采购单位】</w:t>
      </w:r>
      <w:r/>
    </w:p>
    <w:p>
      <w:pPr>
        <w:ind w:firstLine="480"/>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keepLines w:val="0"/>
        <w:keepNext/>
        <w:pageBreakBefore w:val="0"/>
        <w:spacing w:before="120" w:line="360" w:lineRule="auto"/>
        <w:widowControl/>
        <w:tabs>
          <w:tab w:val="left" w:pos="567" w:leader="none"/>
          <w:tab w:val="left" w:pos="1690" w:leader="none"/>
          <w:tab w:val="left" w:pos="3400" w:leader="none"/>
          <w:tab w:val="left" w:pos="5110"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ascii="宋体" w:hAnsi="宋体"/>
          <w:color w:val="auto"/>
          <w:sz w:val="24"/>
          <w:szCs w:val="24"/>
          <w:highlight w:val="none"/>
        </w:rPr>
        <w:t xml:space="preserve">____性别：____年龄：____职务：____</w:t>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before="120" w:line="360" w:lineRule="auto"/>
        <w:widowControl/>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rFonts w:ascii="宋体" w:hAnsi="宋体"/>
          <w:color w:val="auto"/>
          <w:sz w:val="24"/>
          <w:szCs w:val="24"/>
          <w:highlight w:val="none"/>
          <w:u w:val="single"/>
        </w:rPr>
        <w:tab/>
      </w:r>
      <w:r>
        <w:rPr>
          <w:rFonts w:ascii="宋体" w:hAnsi="宋体"/>
          <w:color w:val="auto"/>
          <w:sz w:val="24"/>
          <w:szCs w:val="24"/>
          <w:highlight w:val="none"/>
        </w:rPr>
        <w:t xml:space="preserve">（供应商名称）的法定代表人（单位负责人）。</w:t>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before="120" w:line="360" w:lineRule="auto"/>
        <w:widowControl/>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ind w:right="-46"/>
        <w:keepLines w:val="0"/>
        <w:keepNext/>
        <w:pageBreakBefore w:val="0"/>
        <w:spacing w:before="120" w:line="360" w:lineRule="auto"/>
        <w:widowControl/>
        <w:tabs>
          <w:tab w:val="left" w:pos="567" w:leader="none"/>
        </w:tabs>
        <w:rPr>
          <w:rFonts w:ascii="宋体" w:hAnsi="宋体"/>
          <w:color w:val="auto"/>
          <w:spacing w:val="-3"/>
          <w:sz w:val="24"/>
          <w:szCs w:val="24"/>
          <w:highlight w:val="none"/>
        </w:rPr>
      </w:pPr>
      <w:r>
        <w:rPr>
          <w:rFonts w:ascii="宋体" w:hAnsi="宋体"/>
          <w:color w:val="auto"/>
          <w:sz w:val="24"/>
          <w:szCs w:val="24"/>
          <w:highlight w:val="none"/>
        </w:rPr>
        <w:t xml:space="preserve">附：</w:t>
      </w:r>
      <w:r>
        <w:rPr>
          <w:rFonts w:ascii="宋体" w:hAnsi="宋体"/>
          <w:color w:val="auto"/>
          <w:spacing w:val="-3"/>
          <w:sz w:val="24"/>
          <w:szCs w:val="24"/>
          <w:highlight w:val="none"/>
        </w:rPr>
        <w:t xml:space="preserve">法</w:t>
      </w:r>
      <w:r>
        <w:rPr>
          <w:rFonts w:ascii="宋体" w:hAnsi="宋体"/>
          <w:color w:val="auto"/>
          <w:sz w:val="24"/>
          <w:szCs w:val="24"/>
          <w:highlight w:val="none"/>
        </w:rPr>
        <w:t xml:space="preserve">定</w:t>
      </w:r>
      <w:r>
        <w:rPr>
          <w:rFonts w:ascii="宋体" w:hAnsi="宋体"/>
          <w:color w:val="auto"/>
          <w:spacing w:val="-3"/>
          <w:sz w:val="24"/>
          <w:szCs w:val="24"/>
          <w:highlight w:val="none"/>
        </w:rPr>
        <w:t xml:space="preserve">代</w:t>
      </w:r>
      <w:r>
        <w:rPr>
          <w:rFonts w:ascii="宋体" w:hAnsi="宋体"/>
          <w:color w:val="auto"/>
          <w:sz w:val="24"/>
          <w:szCs w:val="24"/>
          <w:highlight w:val="none"/>
        </w:rPr>
        <w:t xml:space="preserve">表</w:t>
      </w:r>
      <w:r>
        <w:rPr>
          <w:rFonts w:ascii="宋体" w:hAnsi="宋体"/>
          <w:color w:val="auto"/>
          <w:spacing w:val="-3"/>
          <w:sz w:val="24"/>
          <w:szCs w:val="24"/>
          <w:highlight w:val="none"/>
        </w:rPr>
        <w:t xml:space="preserve">人</w:t>
      </w:r>
      <w:r>
        <w:rPr>
          <w:rFonts w:ascii="宋体" w:hAnsi="宋体"/>
          <w:color w:val="auto"/>
          <w:sz w:val="24"/>
          <w:szCs w:val="24"/>
          <w:highlight w:val="none"/>
        </w:rPr>
        <w:t xml:space="preserve">（</w:t>
      </w:r>
      <w:r>
        <w:rPr>
          <w:rFonts w:ascii="宋体" w:hAnsi="宋体"/>
          <w:color w:val="auto"/>
          <w:spacing w:val="-3"/>
          <w:sz w:val="24"/>
          <w:szCs w:val="24"/>
          <w:highlight w:val="none"/>
        </w:rPr>
        <w:t xml:space="preserve">单</w:t>
      </w:r>
      <w:r>
        <w:rPr>
          <w:rFonts w:ascii="宋体" w:hAnsi="宋体"/>
          <w:color w:val="auto"/>
          <w:sz w:val="24"/>
          <w:szCs w:val="24"/>
          <w:highlight w:val="none"/>
        </w:rPr>
        <w:t xml:space="preserve">位</w:t>
      </w:r>
      <w:r>
        <w:rPr>
          <w:rFonts w:ascii="宋体" w:hAnsi="宋体"/>
          <w:color w:val="auto"/>
          <w:spacing w:val="-3"/>
          <w:sz w:val="24"/>
          <w:szCs w:val="24"/>
          <w:highlight w:val="none"/>
        </w:rPr>
        <w:t xml:space="preserve">负</w:t>
      </w:r>
      <w:r>
        <w:rPr>
          <w:rFonts w:ascii="宋体" w:hAnsi="宋体"/>
          <w:color w:val="auto"/>
          <w:sz w:val="24"/>
          <w:szCs w:val="24"/>
          <w:highlight w:val="none"/>
        </w:rPr>
        <w:t xml:space="preserve">责人</w:t>
      </w:r>
      <w:r>
        <w:rPr>
          <w:rFonts w:ascii="宋体" w:hAnsi="宋体"/>
          <w:color w:val="auto"/>
          <w:spacing w:val="-3"/>
          <w:sz w:val="24"/>
          <w:szCs w:val="24"/>
          <w:highlight w:val="none"/>
        </w:rPr>
        <w:t xml:space="preserve">）有效期内的身</w:t>
      </w:r>
      <w:r>
        <w:rPr>
          <w:rFonts w:hint="eastAsia" w:ascii="宋体" w:hAnsi="宋体"/>
          <w:color w:val="auto"/>
          <w:spacing w:val="-3"/>
          <w:sz w:val="24"/>
          <w:szCs w:val="24"/>
          <w:highlight w:val="none"/>
        </w:rPr>
        <w:t xml:space="preserve">份</w:t>
      </w:r>
      <w:r>
        <w:rPr>
          <w:rFonts w:ascii="宋体" w:hAnsi="宋体"/>
          <w:color w:val="auto"/>
          <w:spacing w:val="-3"/>
          <w:sz w:val="24"/>
          <w:szCs w:val="24"/>
          <w:highlight w:val="none"/>
        </w:rPr>
        <w:t xml:space="preserve">证正反面</w:t>
      </w:r>
      <w:r>
        <w:rPr>
          <w:rFonts w:hint="eastAsia" w:ascii="宋体" w:hAnsi="宋体"/>
          <w:color w:val="auto"/>
          <w:spacing w:val="-3"/>
          <w:sz w:val="24"/>
          <w:szCs w:val="24"/>
          <w:highlight w:val="none"/>
        </w:rPr>
        <w:t xml:space="preserve">电子</w:t>
      </w:r>
      <w:r>
        <w:rPr>
          <w:rFonts w:ascii="宋体" w:hAnsi="宋体"/>
          <w:color w:val="auto"/>
          <w:spacing w:val="-3"/>
          <w:sz w:val="24"/>
          <w:szCs w:val="24"/>
          <w:highlight w:val="none"/>
        </w:rPr>
        <w:t xml:space="preserve">件</w:t>
      </w:r>
      <w:r>
        <w:rPr>
          <w:rFonts w:hint="eastAsia" w:ascii="宋体" w:hAnsi="宋体"/>
          <w:color w:val="auto"/>
          <w:spacing w:val="-3"/>
          <w:sz w:val="24"/>
          <w:szCs w:val="24"/>
          <w:highlight w:val="none"/>
        </w:rPr>
        <w:t xml:space="preserve">。</w:t>
      </w:r>
      <w:r/>
    </w:p>
    <w:tbl>
      <w:tblPr>
        <w:tblStyle w:val="85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pageBreakBefore w:val="0"/>
              <w:spacing w:line="360" w:lineRule="auto"/>
              <w:widowControl/>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keepLines w:val="0"/>
        <w:keepNext/>
        <w:pageBreakBefore w:val="0"/>
        <w:spacing w:before="120" w:line="360" w:lineRule="auto"/>
        <w:widowControl/>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ind w:right="4305"/>
        <w:keepLines w:val="0"/>
        <w:keepNext/>
        <w:pageBreakBefore w:val="0"/>
        <w:spacing w:before="120" w:line="360" w:lineRule="auto"/>
        <w:widowControl/>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keepLines w:val="0"/>
        <w:keepNext/>
        <w:pageBreakBefore w:val="0"/>
        <w:spacing w:line="360" w:lineRule="auto"/>
        <w:widowControl/>
        <w:rPr>
          <w:rFonts w:ascii="宋体" w:hAnsi="宋体"/>
          <w:color w:val="auto"/>
          <w:sz w:val="24"/>
          <w:szCs w:val="24"/>
          <w:highlight w:val="none"/>
          <w:lang w:val="zh-CN"/>
        </w:rPr>
      </w:pPr>
      <w:r>
        <w:rPr>
          <w:rFonts w:hint="eastAsia" w:ascii="宋体" w:hAnsi="宋体"/>
          <w:bCs/>
          <w:color w:val="auto"/>
          <w:sz w:val="24"/>
          <w:szCs w:val="24"/>
          <w:highlight w:val="none"/>
        </w:rPr>
        <w:t xml:space="preserve">供应商</w:t>
      </w:r>
      <w:r>
        <w:rPr>
          <w:rFonts w:ascii="宋体" w:hAnsi="宋体"/>
          <w:color w:val="auto"/>
          <w:sz w:val="24"/>
          <w:szCs w:val="24"/>
          <w:highlight w:val="none"/>
        </w:rPr>
        <w:t xml:space="preserve">名称（加盖公章）</w:t>
      </w:r>
      <w:r>
        <w:rPr>
          <w:rFonts w:ascii="宋体" w:hAnsi="宋体"/>
          <w:color w:val="auto"/>
          <w:sz w:val="24"/>
          <w:szCs w:val="24"/>
          <w:highlight w:val="none"/>
          <w:lang w:val="zh-CN"/>
        </w:rPr>
        <w:t xml:space="preserve">：________________</w:t>
      </w:r>
      <w:r/>
    </w:p>
    <w:p>
      <w:pPr>
        <w:ind w:right="95"/>
        <w:keepLines w:val="0"/>
        <w:keepNext/>
        <w:pageBreakBefore w:val="0"/>
        <w:spacing w:before="120" w:line="360" w:lineRule="auto"/>
        <w:widowControl/>
        <w:tabs>
          <w:tab w:val="left" w:pos="567" w:leader="none"/>
        </w:tabs>
        <w:rPr>
          <w:rFonts w:ascii="宋体" w:hAnsi="宋体"/>
          <w:color w:val="auto"/>
          <w:spacing w:val="-3"/>
          <w:sz w:val="24"/>
          <w:szCs w:val="24"/>
          <w:highlight w:val="none"/>
        </w:rPr>
      </w:pPr>
      <w:r>
        <w:rPr>
          <w:rFonts w:hint="eastAsia" w:ascii="宋体" w:hAnsi="宋体"/>
          <w:color w:val="auto"/>
          <w:spacing w:val="-3"/>
          <w:sz w:val="24"/>
          <w:szCs w:val="24"/>
          <w:highlight w:val="none"/>
        </w:rPr>
        <w:t xml:space="preserve">法定代表人（</w:t>
      </w:r>
      <w:r>
        <w:rPr>
          <w:rFonts w:ascii="宋体" w:hAnsi="宋体"/>
          <w:color w:val="auto"/>
          <w:sz w:val="24"/>
          <w:szCs w:val="24"/>
          <w:highlight w:val="none"/>
        </w:rPr>
        <w:t xml:space="preserve">单位负责人</w:t>
      </w:r>
      <w:r>
        <w:rPr>
          <w:rFonts w:hint="eastAsia" w:ascii="宋体" w:hAnsi="宋体"/>
          <w:color w:val="auto"/>
          <w:spacing w:val="-3"/>
          <w:sz w:val="24"/>
          <w:szCs w:val="24"/>
          <w:highlight w:val="none"/>
        </w:rPr>
        <w:t xml:space="preserve">）（签字、签章或印鉴）：_</w:t>
      </w:r>
      <w:r>
        <w:rPr>
          <w:rFonts w:ascii="宋体" w:hAnsi="宋体"/>
          <w:color w:val="auto"/>
          <w:spacing w:val="-3"/>
          <w:sz w:val="24"/>
          <w:szCs w:val="24"/>
          <w:highlight w:val="none"/>
        </w:rPr>
        <w:t xml:space="preserve">______</w:t>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lang w:val="zh-CN"/>
        </w:rPr>
      </w:pPr>
      <w:r>
        <w:rPr>
          <w:rFonts w:ascii="宋体" w:hAnsi="宋体"/>
          <w:color w:val="auto"/>
          <w:sz w:val="24"/>
          <w:szCs w:val="24"/>
          <w:highlight w:val="none"/>
        </w:rPr>
        <w:t xml:space="preserve">日期：_____年______月______日</w:t>
      </w:r>
      <w:r/>
    </w:p>
    <w:p>
      <w:pPr>
        <w:ind w:firstLine="420"/>
        <w:keepLines w:val="0"/>
        <w:keepNext/>
        <w:pageBreakBefore w:val="0"/>
        <w:spacing w:line="360" w:lineRule="auto"/>
        <w:widowControl/>
        <w:rPr>
          <w:color w:val="auto"/>
          <w:szCs w:val="20"/>
          <w:highlight w:val="none"/>
        </w:rPr>
      </w:pPr>
      <w:r>
        <w:rPr>
          <w:color w:val="auto"/>
          <w:szCs w:val="20"/>
          <w:highlight w:val="none"/>
        </w:rPr>
      </w:r>
      <w:r/>
    </w:p>
    <w:p>
      <w:pPr>
        <w:jc w:val="left"/>
        <w:keepLines w:val="0"/>
        <w:keepNext/>
        <w:pageBreakBefore w:val="0"/>
        <w:spacing w:before="120" w:after="120" w:line="360" w:lineRule="auto"/>
        <w:widowControl/>
        <w:rPr>
          <w:rFonts w:ascii="宋体" w:hAnsi="宋体"/>
          <w:b/>
          <w:color w:val="auto"/>
          <w:sz w:val="30"/>
          <w:szCs w:val="30"/>
          <w:highlight w:val="none"/>
          <w:u w:val="single"/>
        </w:rPr>
        <w:outlineLvl w:val="1"/>
      </w:pPr>
      <w:r>
        <w:rPr>
          <w:color w:val="auto"/>
          <w:szCs w:val="24"/>
          <w:highlight w:val="none"/>
        </w:rPr>
        <w:br w:type="page" w:clear="all"/>
      </w:r>
      <w:bookmarkStart w:id="198" w:name="_Toc23828483"/>
      <w:r/>
      <w:bookmarkStart w:id="199" w:name="_Toc120614291"/>
      <w:r/>
      <w:bookmarkStart w:id="200" w:name="_Toc22356583"/>
      <w:r/>
      <w:bookmarkStart w:id="201" w:name="_Toc513029281"/>
      <w:r/>
      <w:bookmarkStart w:id="202" w:name="_Toc49090582"/>
      <w:r/>
      <w:bookmarkStart w:id="203" w:name="_Toc26554103"/>
      <w:r/>
      <w:bookmarkStart w:id="204" w:name="_Toc120614284"/>
      <w:r/>
      <w:bookmarkStart w:id="205" w:name="_Toc24878535"/>
      <w:r>
        <w:rPr>
          <w:rFonts w:hint="eastAsia" w:ascii="宋体" w:hAnsi="宋体" w:eastAsia="宋体" w:cs="宋体"/>
          <w:bCs/>
          <w:color w:val="auto"/>
          <w:sz w:val="24"/>
          <w:szCs w:val="28"/>
          <w:highlight w:val="none"/>
        </w:rPr>
        <w:t xml:space="preserve">格式10、商务条款偏离表</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商务条款偏离表</w:t>
      </w:r>
      <w:r/>
    </w:p>
    <w:p>
      <w:pPr>
        <w:ind w:firstLine="480"/>
        <w:keepLines w:val="0"/>
        <w:keepNext/>
        <w:pageBreakBefore w:val="0"/>
        <w:spacing w:line="36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请逐条</w:t>
      </w:r>
      <w:r>
        <w:rPr>
          <w:rFonts w:hint="eastAsia" w:ascii="宋体" w:hAnsi="宋体"/>
          <w:color w:val="auto"/>
          <w:sz w:val="24"/>
          <w:szCs w:val="24"/>
          <w:highlight w:val="none"/>
        </w:rPr>
        <w:t xml:space="preserve">对应采购文件“项目需求”等内容要求的商务条件，填写该表。</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项号</w:t>
            </w:r>
            <w:r/>
          </w:p>
        </w:tc>
        <w:tc>
          <w:tcPr>
            <w:tcW w:w="2774" w:type="dxa"/>
            <w:vAlign w:val="center"/>
            <w:textDirection w:val="lrTb"/>
            <w:noWrap w:val="false"/>
          </w:tcPr>
          <w:p>
            <w:pPr>
              <w:jc w:val="center"/>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2927" w:type="dxa"/>
            <w:vAlign w:val="center"/>
            <w:textDirection w:val="lrTb"/>
            <w:noWrap w:val="false"/>
          </w:tcPr>
          <w:p>
            <w:pPr>
              <w:jc w:val="center"/>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2444" w:type="dxa"/>
            <w:vAlign w:val="center"/>
            <w:textDirection w:val="lrTb"/>
            <w:noWrap w:val="false"/>
          </w:tcPr>
          <w:p>
            <w:pPr>
              <w:jc w:val="center"/>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r>
        <w:trPr>
          <w:jc w:val="center"/>
          <w:trHeight w:val="491"/>
        </w:trPr>
        <w:tc>
          <w:tcPr>
            <w:tcW w:w="107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77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927"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2444" w:type="dxa"/>
            <w:vAlign w:val="top"/>
            <w:textDirection w:val="lrTb"/>
            <w:noWrap w:val="false"/>
          </w:tcPr>
          <w:p>
            <w:pPr>
              <w:ind w:firstLine="480"/>
              <w:jc w:val="cente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tc>
      </w:tr>
    </w:tbl>
    <w:p>
      <w:pPr>
        <w:keepLines w:val="0"/>
        <w:keepNext/>
        <w:pageBreakBefore w:val="0"/>
        <w:spacing w:line="360" w:lineRule="auto"/>
        <w:widowControl/>
        <w:rPr>
          <w:rFonts w:ascii="宋体" w:hAnsi="宋体"/>
          <w:color w:val="auto"/>
          <w:szCs w:val="20"/>
          <w:highlight w:val="none"/>
        </w:rPr>
      </w:pPr>
      <w:r>
        <w:rPr>
          <w:rFonts w:hint="eastAsia" w:ascii="宋体" w:hAnsi="宋体"/>
          <w:color w:val="auto"/>
          <w:sz w:val="24"/>
          <w:szCs w:val="24"/>
          <w:highlight w:val="none"/>
        </w:rPr>
        <w:t xml:space="preserve">注：“偏离说明”填写“正偏离”“负偏离”或“无偏离”。</w:t>
      </w:r>
      <w:bookmarkEnd w:id="198"/>
      <w:bookmarkEnd w:id="199"/>
      <w:bookmarkEnd w:id="200"/>
      <w:bookmarkEnd w:id="201"/>
      <w:bookmarkEnd w:id="202"/>
      <w:bookmarkEnd w:id="203"/>
      <w:bookmarkEnd w:id="204"/>
      <w:bookmarkEnd w:id="205"/>
      <w:r/>
    </w:p>
    <w:p>
      <w:pPr>
        <w:ind w:firstLine="480"/>
        <w:jc w:val="left"/>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ind w:left="0" w:firstLine="484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jc w:val="left"/>
        <w:keepLines w:val="0"/>
        <w:keepNext/>
        <w:pageBreakBefore w:val="0"/>
        <w:spacing w:before="120" w:after="120" w:line="360" w:lineRule="auto"/>
        <w:widowControl/>
        <w:rPr>
          <w:rFonts w:ascii="宋体" w:hAnsi="宋体"/>
          <w:b/>
          <w:color w:val="auto"/>
          <w:sz w:val="24"/>
          <w:szCs w:val="24"/>
          <w:highlight w:val="none"/>
        </w:rPr>
        <w:outlineLvl w:val="1"/>
      </w:pPr>
      <w:r>
        <w:rPr>
          <w:rFonts w:ascii="宋体" w:hAnsi="宋体"/>
          <w:bCs/>
          <w:color w:val="auto"/>
          <w:sz w:val="24"/>
          <w:szCs w:val="24"/>
          <w:highlight w:val="none"/>
        </w:rPr>
        <w:br w:type="page" w:clear="all"/>
      </w:r>
      <w:r>
        <w:rPr>
          <w:rFonts w:hint="eastAsia" w:ascii="宋体" w:hAnsi="宋体" w:eastAsia="宋体" w:cs="宋体"/>
          <w:bCs/>
          <w:color w:val="auto"/>
          <w:sz w:val="24"/>
          <w:szCs w:val="28"/>
          <w:highlight w:val="none"/>
        </w:rPr>
        <w:t xml:space="preserve">格式1</w:t>
      </w:r>
      <w:r>
        <w:rPr>
          <w:rFonts w:hint="eastAsia" w:ascii="宋体" w:hAnsi="宋体" w:eastAsia="宋体" w:cs="宋体"/>
          <w:bCs/>
          <w:color w:val="auto"/>
          <w:sz w:val="24"/>
          <w:szCs w:val="28"/>
          <w:highlight w:val="none"/>
          <w:lang w:val="en-US" w:eastAsia="zh-CN"/>
        </w:rPr>
        <w:t xml:space="preserve">1</w:t>
      </w:r>
      <w:r>
        <w:rPr>
          <w:rFonts w:hint="eastAsia" w:ascii="宋体" w:hAnsi="宋体" w:eastAsia="宋体" w:cs="宋体"/>
          <w:bCs/>
          <w:color w:val="auto"/>
          <w:sz w:val="24"/>
          <w:szCs w:val="28"/>
          <w:highlight w:val="none"/>
        </w:rPr>
        <w:t xml:space="preserve">、售后服务承诺书</w:t>
      </w:r>
      <w:r/>
    </w:p>
    <w:p>
      <w:pPr>
        <w:jc w:val="center"/>
        <w:keepLines w:val="0"/>
        <w:keepNext/>
        <w:pageBreakBefore w:val="0"/>
        <w:spacing w:line="360" w:lineRule="auto"/>
        <w:widowControl/>
        <w:rPr>
          <w:rFonts w:hint="eastAsia" w:ascii="宋体" w:hAnsi="宋体" w:eastAsia="宋体" w:cs="宋体"/>
          <w:b/>
          <w:bCs w:val="0"/>
          <w:color w:val="auto"/>
          <w:sz w:val="36"/>
          <w:szCs w:val="36"/>
          <w:highlight w:val="none"/>
        </w:rPr>
      </w:pPr>
      <w:r>
        <w:rPr>
          <w:rFonts w:hint="eastAsia" w:ascii="宋体" w:hAnsi="宋体" w:eastAsia="宋体" w:cs="宋体"/>
          <w:b/>
          <w:bCs w:val="0"/>
          <w:color w:val="auto"/>
          <w:sz w:val="36"/>
          <w:szCs w:val="36"/>
          <w:highlight w:val="none"/>
        </w:rPr>
        <w:t xml:space="preserve">售后服务承诺书</w:t>
      </w:r>
      <w:r/>
    </w:p>
    <w:p>
      <w:pPr>
        <w:jc w:val="center"/>
        <w:keepLines w:val="0"/>
        <w:keepNext/>
        <w:pageBreakBefore w:val="0"/>
        <w:spacing w:line="360" w:lineRule="auto"/>
        <w:widowControl/>
        <w:rPr>
          <w:rFonts w:ascii="宋体" w:hAnsi="宋体"/>
          <w:color w:val="auto"/>
          <w:sz w:val="24"/>
          <w:szCs w:val="20"/>
          <w:highlight w:val="none"/>
        </w:rPr>
      </w:pPr>
      <w:r>
        <w:rPr>
          <w:rFonts w:hint="eastAsia" w:ascii="宋体" w:hAnsi="宋体"/>
          <w:color w:val="auto"/>
          <w:sz w:val="24"/>
          <w:szCs w:val="24"/>
          <w:highlight w:val="none"/>
        </w:rPr>
        <w:t xml:space="preserve">（供应商按“项目需求”等内容要求自行填写，格式自定)</w:t>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left="0" w:firstLine="462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keepLines w:val="0"/>
        <w:keepNext/>
        <w:pageBreakBefore w:val="0"/>
        <w:spacing w:line="360" w:lineRule="auto"/>
        <w:widowControl/>
        <w:rPr>
          <w:rFonts w:ascii="宋体" w:hAnsi="宋体"/>
          <w:b/>
          <w:bCs/>
          <w:color w:val="auto"/>
          <w:sz w:val="28"/>
          <w:szCs w:val="24"/>
          <w:highlight w:val="none"/>
        </w:rPr>
      </w:pPr>
      <w:r>
        <w:rPr>
          <w:rFonts w:ascii="宋体" w:hAnsi="宋体"/>
          <w:bCs/>
          <w:color w:val="auto"/>
          <w:sz w:val="24"/>
          <w:szCs w:val="24"/>
          <w:highlight w:val="none"/>
        </w:rPr>
        <w:br w:type="page" w:clear="all"/>
      </w:r>
      <w:r>
        <w:rPr>
          <w:rFonts w:hint="eastAsia" w:ascii="宋体" w:hAnsi="宋体" w:eastAsia="宋体" w:cs="宋体"/>
          <w:bCs/>
          <w:color w:val="auto"/>
          <w:sz w:val="24"/>
          <w:szCs w:val="28"/>
          <w:highlight w:val="none"/>
        </w:rPr>
        <w:t xml:space="preserve">格式1</w:t>
      </w:r>
      <w:r>
        <w:rPr>
          <w:rFonts w:hint="eastAsia" w:ascii="宋体" w:hAnsi="宋体" w:cs="宋体"/>
          <w:bCs/>
          <w:color w:val="auto"/>
          <w:sz w:val="24"/>
          <w:szCs w:val="28"/>
          <w:highlight w:val="none"/>
          <w:lang w:val="en-US" w:eastAsia="zh-CN"/>
        </w:rPr>
        <w:t xml:space="preserve">2</w:t>
      </w:r>
      <w:r>
        <w:rPr>
          <w:rFonts w:hint="eastAsia" w:ascii="宋体" w:hAnsi="宋体" w:eastAsia="宋体" w:cs="宋体"/>
          <w:bCs/>
          <w:color w:val="auto"/>
          <w:sz w:val="24"/>
          <w:szCs w:val="28"/>
          <w:highlight w:val="none"/>
        </w:rPr>
        <w:t xml:space="preserve">、类似项目业绩一览表</w:t>
      </w:r>
      <w:r/>
    </w:p>
    <w:p>
      <w:pPr>
        <w:jc w:val="center"/>
        <w:keepLines w:val="0"/>
        <w:keepNext/>
        <w:pageBreakBefore w:val="0"/>
        <w:widowControl/>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类似项目业绩一览表</w:t>
      </w:r>
      <w:r/>
    </w:p>
    <w:tbl>
      <w:tblPr>
        <w:tblStyle w:val="8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53"/>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72"/>
        </w:trPr>
        <w:tc>
          <w:tcPr>
            <w:tcW w:w="1014"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39"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135"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35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2418" w:type="dxa"/>
            <w:vAlign w:val="center"/>
            <w:textDirection w:val="lrTb"/>
            <w:noWrap w:val="false"/>
          </w:tcPr>
          <w:p>
            <w:pPr>
              <w:jc w:val="center"/>
              <w:keepLines w:val="0"/>
              <w:keepNext/>
              <w:pageBreakBefore w:val="0"/>
              <w:spacing w:line="520" w:lineRule="exact"/>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jc w:val="center"/>
        <w:keepLines w:val="0"/>
        <w:keepNext/>
        <w:pageBreakBefore w:val="0"/>
        <w:spacing w:line="400" w:lineRule="exact"/>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keepLines w:val="0"/>
        <w:keepNext/>
        <w:pageBreakBefore w:val="0"/>
        <w:spacing w:line="400" w:lineRule="exact"/>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left="0" w:firstLine="462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jc w:val="left"/>
        <w:keepLines w:val="0"/>
        <w:keepNext/>
        <w:pageBreakBefore w:val="0"/>
        <w:spacing w:line="360" w:lineRule="auto"/>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pStyle w:val="1062"/>
        <w:ind w:left="0" w:firstLine="0"/>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jc w:val="left"/>
        <w:keepLines w:val="0"/>
        <w:keepNext/>
        <w:pageBreakBefore w:val="0"/>
        <w:widowControl/>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t xml:space="preserve">格式1</w:t>
      </w:r>
      <w:r>
        <w:rPr>
          <w:rFonts w:hint="eastAsia" w:ascii="宋体" w:hAnsi="宋体" w:cs="宋体"/>
          <w:bCs/>
          <w:color w:val="auto"/>
          <w:sz w:val="24"/>
          <w:szCs w:val="28"/>
          <w:highlight w:val="none"/>
          <w:lang w:val="en-US" w:eastAsia="zh-CN"/>
        </w:rPr>
        <w:t xml:space="preserve">3</w:t>
      </w:r>
      <w:r>
        <w:rPr>
          <w:rFonts w:hint="eastAsia" w:ascii="宋体" w:hAnsi="宋体" w:eastAsia="宋体" w:cs="宋体"/>
          <w:bCs/>
          <w:color w:val="auto"/>
          <w:sz w:val="24"/>
          <w:szCs w:val="28"/>
          <w:highlight w:val="none"/>
        </w:rPr>
        <w:t xml:space="preserve">、项目团队人员一览表</w:t>
      </w:r>
      <w:r/>
    </w:p>
    <w:p>
      <w:pPr>
        <w:ind w:firstLine="562"/>
        <w:keepLines w:val="0"/>
        <w:keepNext/>
        <w:pageBreakBefore w:val="0"/>
        <w:widowControl/>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r>
      <w:r/>
    </w:p>
    <w:p>
      <w:pPr>
        <w:ind w:firstLine="720"/>
        <w:jc w:val="center"/>
        <w:keepLines w:val="0"/>
        <w:keepNext/>
        <w:pageBreakBefore w:val="0"/>
        <w:widowControl/>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tbl>
      <w:tblPr>
        <w:tblStyle w:val="852"/>
        <w:tblW w:w="100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10"/>
        <w:gridCol w:w="1602"/>
        <w:gridCol w:w="1230"/>
        <w:gridCol w:w="1260"/>
        <w:gridCol w:w="1768"/>
        <w:gridCol w:w="820"/>
        <w:gridCol w:w="1768"/>
      </w:tblGrid>
      <w:tr>
        <w:trPr>
          <w:jc w:val="center"/>
          <w:trHeight w:val="930"/>
        </w:trPr>
        <w:tc>
          <w:tcPr>
            <w:tcW w:w="744"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1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602"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23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职称证书</w:t>
            </w:r>
            <w:r/>
          </w:p>
        </w:tc>
        <w:tc>
          <w:tcPr>
            <w:tcW w:w="126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w:t>
            </w:r>
            <w:r/>
          </w:p>
        </w:tc>
        <w:tc>
          <w:tcPr>
            <w:tcW w:w="1768"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从事专业年限</w:t>
            </w:r>
            <w:r/>
          </w:p>
        </w:tc>
        <w:tc>
          <w:tcPr>
            <w:tcW w:w="820"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768" w:type="dxa"/>
            <w:vAlign w:val="center"/>
            <w:textDirection w:val="lrTb"/>
            <w:noWrap w:val="false"/>
          </w:tcPr>
          <w:p>
            <w:pPr>
              <w:jc w:val="both"/>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744"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1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602"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3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26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820"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768" w:type="dxa"/>
            <w:vAlign w:val="center"/>
            <w:textDirection w:val="lrTb"/>
            <w:noWrap w:val="false"/>
          </w:tcPr>
          <w:p>
            <w:pPr>
              <w:ind w:firstLine="560"/>
              <w:jc w:val="center"/>
              <w:keepLines w:val="0"/>
              <w:keepNext/>
              <w:pageBreakBefore w:val="0"/>
              <w:widowControl/>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ind w:firstLine="562"/>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562"/>
        <w:jc w:val="center"/>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562"/>
        <w:jc w:val="center"/>
        <w:keepLines w:val="0"/>
        <w:keepNext/>
        <w:pageBreakBefore w:val="0"/>
        <w:widowControl/>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keepLines w:val="0"/>
        <w:keepNext/>
        <w:pageBreakBefore w:val="0"/>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480"/>
        <w:keepLines w:val="0"/>
        <w:keepNext/>
        <w:pageBreakBefore w:val="0"/>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1062"/>
        <w:keepLines w:val="0"/>
        <w:keepNext/>
        <w:pageBreakBefore w:val="0"/>
        <w:widowControl/>
        <w:rPr>
          <w:rFonts w:ascii="宋体" w:hAnsi="宋体"/>
          <w:bCs/>
          <w:color w:val="auto"/>
          <w:sz w:val="24"/>
          <w:szCs w:val="24"/>
          <w:highlight w:val="none"/>
        </w:rPr>
      </w:pPr>
      <w:r>
        <w:rPr>
          <w:rFonts w:ascii="宋体" w:hAnsi="宋体"/>
          <w:bCs/>
          <w:color w:val="auto"/>
          <w:sz w:val="24"/>
          <w:szCs w:val="24"/>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Cs/>
          <w:color w:val="auto"/>
          <w:sz w:val="24"/>
          <w:szCs w:val="28"/>
          <w:highlight w:val="none"/>
        </w:rPr>
        <w:outlineLvl w:val="1"/>
      </w:pPr>
      <w:r>
        <w:rPr>
          <w:rFonts w:hint="eastAsia" w:ascii="宋体" w:hAnsi="宋体" w:eastAsia="宋体" w:cs="宋体"/>
          <w:bCs/>
          <w:color w:val="auto"/>
          <w:sz w:val="24"/>
          <w:szCs w:val="28"/>
          <w:highlight w:val="none"/>
        </w:rPr>
      </w:r>
      <w:r/>
    </w:p>
    <w:p>
      <w:pPr>
        <w:jc w:val="left"/>
        <w:keepLines w:val="0"/>
        <w:keepNext/>
        <w:pageBreakBefore w:val="0"/>
        <w:spacing w:before="120" w:after="120"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Cs/>
          <w:color w:val="auto"/>
          <w:sz w:val="24"/>
          <w:szCs w:val="28"/>
          <w:highlight w:val="none"/>
        </w:rPr>
        <w:t xml:space="preserve">格式</w:t>
      </w:r>
      <w:r>
        <w:rPr>
          <w:rFonts w:hint="eastAsia" w:ascii="宋体" w:hAnsi="宋体" w:eastAsia="宋体" w:cs="宋体"/>
          <w:bCs/>
          <w:color w:val="auto"/>
          <w:sz w:val="24"/>
          <w:szCs w:val="28"/>
          <w:highlight w:val="none"/>
          <w:lang w:val="en-US" w:eastAsia="zh-CN"/>
        </w:rPr>
        <w:t xml:space="preserve">1</w:t>
      </w:r>
      <w:r>
        <w:rPr>
          <w:rFonts w:hint="eastAsia" w:ascii="宋体" w:hAnsi="宋体" w:cs="宋体"/>
          <w:bCs/>
          <w:color w:val="auto"/>
          <w:sz w:val="24"/>
          <w:szCs w:val="28"/>
          <w:highlight w:val="none"/>
          <w:lang w:val="en-US" w:eastAsia="zh-CN"/>
        </w:rPr>
        <w:t xml:space="preserve">4</w:t>
      </w:r>
      <w:r>
        <w:rPr>
          <w:rFonts w:hint="eastAsia" w:ascii="宋体" w:hAnsi="宋体" w:eastAsia="宋体" w:cs="宋体"/>
          <w:bCs/>
          <w:color w:val="auto"/>
          <w:sz w:val="24"/>
          <w:szCs w:val="28"/>
          <w:highlight w:val="none"/>
        </w:rPr>
        <w:t xml:space="preserve">、项目需求响应</w:t>
      </w:r>
      <w:r/>
    </w:p>
    <w:p>
      <w:pPr>
        <w:jc w:val="center"/>
        <w:keepLines w:val="0"/>
        <w:keepNext/>
        <w:pageBreakBefore w:val="0"/>
        <w:spacing w:line="360" w:lineRule="auto"/>
        <w:widowControl/>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项目需求响应</w:t>
      </w:r>
      <w:r/>
    </w:p>
    <w:p>
      <w:pPr>
        <w:jc w:val="center"/>
        <w:keepLines w:val="0"/>
        <w:keepNext/>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（供应商按“项目需求”等内容要求自行填写，格式自定）</w:t>
      </w:r>
      <w:r/>
    </w:p>
    <w:p>
      <w:pPr>
        <w:keepLines w:val="0"/>
        <w:keepNext/>
        <w:pageBreakBefore w:val="0"/>
        <w:spacing w:line="360" w:lineRule="auto"/>
        <w:widowControl/>
        <w:rPr>
          <w:color w:val="auto"/>
          <w:szCs w:val="24"/>
          <w:highlight w:val="none"/>
        </w:rPr>
      </w:pPr>
      <w:r>
        <w:rPr>
          <w:color w:val="auto"/>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keepLines w:val="0"/>
        <w:keepNext/>
        <w:pageBreakBefore w:val="0"/>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left="0" w:firstLine="4840"/>
        <w:keepLines w:val="0"/>
        <w:keepNext/>
        <w:pageBreakBefore w:val="0"/>
        <w:spacing w:line="360" w:lineRule="auto"/>
        <w:widowControl/>
        <w:rPr>
          <w:rFonts w:ascii="宋体" w:hAnsi="宋体" w:eastAsia="宋体" w:cs="宋体"/>
          <w:i w:val="0"/>
          <w:iCs w:val="0"/>
          <w:color w:val="auto"/>
          <w:sz w:val="24"/>
          <w:szCs w:val="24"/>
          <w:highlight w:val="none"/>
          <w:u w:val="single"/>
          <w:lang w:val="en-US" w:eastAsia="zh-CN"/>
        </w:rPr>
      </w:pPr>
      <w:r>
        <w:rPr>
          <w:rFonts w:hint="eastAsia" w:ascii="宋体" w:hAnsi="宋体" w:cs="宋体"/>
          <w:i w:val="0"/>
          <w:iCs w:val="0"/>
          <w:color w:val="auto"/>
          <w:sz w:val="24"/>
          <w:szCs w:val="24"/>
          <w:highlight w:val="none"/>
          <w:lang w:val="en-US" w:eastAsia="zh-CN"/>
        </w:rPr>
        <w:t xml:space="preserve">供应商</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加盖</w:t>
      </w:r>
      <w:r>
        <w:rPr>
          <w:rFonts w:ascii="Times New Roman" w:hAnsi="Times New Roman" w:cs="Times New Roman"/>
          <w:i w:val="0"/>
          <w:iCs w:val="0"/>
          <w:color w:val="auto"/>
          <w:sz w:val="24"/>
          <w:szCs w:val="24"/>
          <w:highlight w:val="none"/>
          <w:u w:val="none"/>
        </w:rPr>
        <w:t xml:space="preserve">CA电子公章</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u w:val="single"/>
          <w:lang w:val="en-US" w:eastAsia="zh-CN"/>
        </w:rPr>
        <w:t xml:space="preserve">     </w:t>
      </w:r>
      <w:r/>
    </w:p>
    <w:p>
      <w:pPr>
        <w:ind w:firstLine="5040"/>
        <w:keepLines w:val="0"/>
        <w:keepNext/>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i w:val="0"/>
          <w:iCs w:val="0"/>
          <w:color w:val="auto"/>
          <w:sz w:val="24"/>
          <w:szCs w:val="24"/>
          <w:highlight w:val="none"/>
          <w:u w:val="single"/>
        </w:rPr>
        <w:t xml:space="preserve">    </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w:t>
      </w:r>
      <w:r/>
    </w:p>
    <w:p>
      <w:pPr>
        <w:pStyle w:val="1062"/>
        <w:keepLines w:val="0"/>
        <w:keepNext/>
        <w:pageBreakBefore w:val="0"/>
        <w:widowControl/>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62"/>
        <w:keepLines w:val="0"/>
        <w:keepNext/>
        <w:pageBreakBefore w:val="0"/>
        <w:widowControl/>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62"/>
        <w:ind w:left="0" w:firstLine="0"/>
        <w:keepLines w:val="0"/>
        <w:keepNext/>
        <w:pageBreakBefore w:val="0"/>
        <w:widowControl/>
        <w:rPr>
          <w:rFonts w:hint="eastAsia" w:ascii="宋体" w:hAnsi="宋体"/>
          <w:bCs/>
          <w:color w:val="auto"/>
          <w:sz w:val="24"/>
          <w:szCs w:val="24"/>
          <w:highlight w:val="none"/>
        </w:rPr>
      </w:pPr>
      <w:r>
        <w:rPr>
          <w:rFonts w:hint="eastAsia" w:ascii="宋体" w:hAnsi="宋体"/>
          <w:bCs/>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keepLines w:val="0"/>
        <w:keepNext/>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、其他材料</w:t>
      </w:r>
      <w:r/>
    </w:p>
    <w:p>
      <w:pPr>
        <w:jc w:val="center"/>
        <w:keepLines w:val="0"/>
        <w:keepNext/>
        <w:pageBreakBefore w:val="0"/>
        <w:spacing w:line="360" w:lineRule="auto"/>
        <w:widowControl/>
        <w:rPr>
          <w:rFonts w:hint="eastAsia" w:ascii="宋体" w:hAnsi="宋体" w:eastAsia="宋体" w:cs="宋体"/>
          <w:b/>
          <w:bCs/>
          <w:color w:val="auto"/>
          <w:sz w:val="36"/>
          <w:szCs w:val="28"/>
          <w:highlight w:val="none"/>
        </w:rPr>
      </w:pPr>
      <w:r>
        <w:rPr>
          <w:rFonts w:hint="eastAsia" w:ascii="宋体" w:hAnsi="宋体" w:eastAsia="宋体" w:cs="宋体"/>
          <w:b/>
          <w:bCs/>
          <w:color w:val="auto"/>
          <w:sz w:val="36"/>
          <w:szCs w:val="28"/>
          <w:highlight w:val="none"/>
        </w:rPr>
        <w:t xml:space="preserve">其它材料</w:t>
      </w:r>
      <w:r/>
    </w:p>
    <w:p>
      <w:pPr>
        <w:ind w:firstLine="480"/>
        <w:jc w:val="center"/>
        <w:keepLines w:val="0"/>
        <w:keepNex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竞争性磋商</w:t>
      </w:r>
      <w:r>
        <w:rPr>
          <w:rFonts w:hint="eastAsia" w:ascii="宋体" w:hAnsi="宋体" w:eastAsia="宋体" w:cs="宋体"/>
          <w:color w:val="auto"/>
          <w:sz w:val="24"/>
          <w:szCs w:val="24"/>
          <w:highlight w:val="none"/>
        </w:rPr>
        <w:t xml:space="preserve">文件响应有必要提供的材料或评标办法中要求提供的材料）</w:t>
      </w:r>
      <w:r/>
    </w:p>
    <w:p>
      <w:pPr>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pageBreakBefore w:val="0"/>
        <w:spacing w:line="520" w:lineRule="exact"/>
        <w:widowControl/>
        <w:rPr>
          <w:rFonts w:ascii="宋体" w:hAnsi="宋体" w:eastAsia="宋体" w:cs="宋体"/>
          <w:b/>
          <w:bCs/>
          <w:i w:val="0"/>
          <w:iCs w:val="0"/>
          <w:color w:val="auto"/>
          <w:spacing w:val="8"/>
          <w:sz w:val="24"/>
          <w:szCs w:val="24"/>
          <w:highlight w:val="none"/>
        </w:rPr>
        <w:outlineLvl w:val="0"/>
      </w:pPr>
      <w:r>
        <w:rPr>
          <w:rFonts w:ascii="宋体" w:hAnsi="宋体" w:eastAsia="宋体" w:cs="宋体"/>
          <w:b/>
          <w:bCs/>
          <w:i w:val="0"/>
          <w:iCs w:val="0"/>
          <w:color w:val="auto"/>
          <w:spacing w:val="8"/>
          <w:sz w:val="24"/>
          <w:szCs w:val="24"/>
          <w:highlight w:val="none"/>
        </w:rPr>
        <w:t xml:space="preserve">注：</w:t>
      </w:r>
      <w:r/>
    </w:p>
    <w:p>
      <w:pPr>
        <w:ind w:left="0" w:firstLine="514"/>
        <w:jc w:val="left"/>
        <w:keepLines w:val="0"/>
        <w:keepNext/>
        <w:pageBreakBefore w:val="0"/>
        <w:spacing w:line="360" w:lineRule="auto"/>
        <w:widowControl/>
        <w:rPr>
          <w:rFonts w:ascii="宋体" w:hAnsi="宋体" w:eastAsia="宋体" w:cs="宋体"/>
          <w:b/>
          <w:bCs/>
          <w:i w:val="0"/>
          <w:iCs w:val="0"/>
          <w:color w:val="auto"/>
          <w:spacing w:val="9"/>
          <w:sz w:val="24"/>
          <w:szCs w:val="24"/>
          <w:highlight w:val="none"/>
        </w:rPr>
      </w:pPr>
      <w:r>
        <w:rPr>
          <w:rFonts w:hint="eastAsia" w:ascii="宋体" w:hAnsi="宋体" w:eastAsia="宋体" w:cs="宋体"/>
          <w:b/>
          <w:bCs/>
          <w:i w:val="0"/>
          <w:iCs w:val="0"/>
          <w:color w:val="auto"/>
          <w:spacing w:val="8"/>
          <w:sz w:val="24"/>
          <w:szCs w:val="24"/>
          <w:highlight w:val="none"/>
          <w:lang w:val="en-US" w:eastAsia="zh-CN"/>
        </w:rPr>
        <w:t xml:space="preserve">1、</w:t>
      </w:r>
      <w:r>
        <w:rPr>
          <w:rFonts w:ascii="宋体" w:hAnsi="宋体" w:eastAsia="宋体" w:cs="宋体"/>
          <w:b/>
          <w:bCs/>
          <w:i w:val="0"/>
          <w:iCs w:val="0"/>
          <w:color w:val="auto"/>
          <w:spacing w:val="8"/>
          <w:sz w:val="24"/>
          <w:szCs w:val="24"/>
          <w:highlight w:val="none"/>
        </w:rPr>
        <w:t xml:space="preserve">本采购项目</w:t>
      </w:r>
      <w:r>
        <w:rPr>
          <w:rFonts w:hint="eastAsia" w:ascii="宋体" w:hAnsi="宋体" w:eastAsia="宋体" w:cs="宋体"/>
          <w:b/>
          <w:bCs/>
          <w:i w:val="0"/>
          <w:iCs w:val="0"/>
          <w:color w:val="auto"/>
          <w:spacing w:val="8"/>
          <w:sz w:val="24"/>
          <w:szCs w:val="24"/>
          <w:highlight w:val="none"/>
          <w:lang w:eastAsia="zh-CN"/>
        </w:rPr>
        <w:t xml:space="preserve">的</w:t>
      </w:r>
      <w:r>
        <w:rPr>
          <w:rFonts w:ascii="宋体" w:hAnsi="宋体" w:eastAsia="宋体" w:cs="宋体"/>
          <w:b/>
          <w:bCs/>
          <w:i w:val="0"/>
          <w:iCs w:val="0"/>
          <w:color w:val="auto"/>
          <w:spacing w:val="8"/>
          <w:sz w:val="24"/>
          <w:szCs w:val="24"/>
          <w:highlight w:val="none"/>
        </w:rPr>
        <w:t xml:space="preserve">资格评审及评标相关的证明文</w:t>
      </w:r>
      <w:r>
        <w:rPr>
          <w:rFonts w:ascii="宋体" w:hAnsi="宋体" w:eastAsia="宋体" w:cs="宋体"/>
          <w:b/>
          <w:bCs/>
          <w:i w:val="0"/>
          <w:iCs w:val="0"/>
          <w:color w:val="auto"/>
          <w:spacing w:val="7"/>
          <w:sz w:val="24"/>
          <w:szCs w:val="24"/>
          <w:highlight w:val="none"/>
        </w:rPr>
        <w:t xml:space="preserve">件均需提供原件扫描件上传至</w:t>
      </w:r>
      <w:r>
        <w:rPr>
          <w:rFonts w:hint="eastAsia" w:ascii="宋体" w:hAnsi="宋体" w:eastAsia="宋体" w:cs="宋体"/>
          <w:b/>
          <w:bCs/>
          <w:i w:val="0"/>
          <w:iCs w:val="0"/>
          <w:color w:val="auto"/>
          <w:spacing w:val="7"/>
          <w:sz w:val="24"/>
          <w:szCs w:val="24"/>
          <w:highlight w:val="none"/>
          <w:lang w:val="en-US" w:eastAsia="zh-CN"/>
        </w:rPr>
        <w:t xml:space="preserve">电子响应</w:t>
      </w:r>
      <w:r>
        <w:rPr>
          <w:rFonts w:ascii="宋体" w:hAnsi="宋体" w:eastAsia="宋体" w:cs="宋体"/>
          <w:b/>
          <w:bCs/>
          <w:i w:val="0"/>
          <w:iCs w:val="0"/>
          <w:color w:val="auto"/>
          <w:spacing w:val="8"/>
          <w:sz w:val="24"/>
          <w:szCs w:val="24"/>
          <w:highlight w:val="none"/>
        </w:rPr>
        <w:t xml:space="preserve">文件中，扫描件需齐全并能清晰辨认</w:t>
      </w:r>
      <w:r>
        <w:rPr>
          <w:rFonts w:hint="eastAsia" w:ascii="宋体" w:hAnsi="宋体" w:cs="宋体"/>
          <w:b/>
          <w:bCs/>
          <w:i w:val="0"/>
          <w:iCs w:val="0"/>
          <w:color w:val="auto"/>
          <w:spacing w:val="8"/>
          <w:sz w:val="24"/>
          <w:szCs w:val="24"/>
          <w:highlight w:val="none"/>
          <w:lang w:val="en-US" w:eastAsia="zh-CN"/>
        </w:rPr>
        <w:t xml:space="preserve">且</w:t>
      </w:r>
      <w:r>
        <w:rPr>
          <w:rFonts w:ascii="宋体" w:hAnsi="宋体" w:eastAsia="宋体" w:cs="宋体"/>
          <w:b/>
          <w:bCs/>
          <w:i w:val="0"/>
          <w:iCs w:val="0"/>
          <w:color w:val="auto"/>
          <w:spacing w:val="8"/>
          <w:sz w:val="24"/>
          <w:szCs w:val="24"/>
          <w:highlight w:val="none"/>
        </w:rPr>
        <w:t xml:space="preserve">在有效期内，</w:t>
      </w:r>
      <w:r>
        <w:rPr>
          <w:rFonts w:ascii="宋体" w:hAnsi="宋体" w:eastAsia="宋体" w:cs="宋体"/>
          <w:b/>
          <w:bCs/>
          <w:i w:val="0"/>
          <w:iCs w:val="0"/>
          <w:color w:val="auto"/>
          <w:spacing w:val="7"/>
          <w:sz w:val="24"/>
          <w:szCs w:val="24"/>
          <w:highlight w:val="none"/>
        </w:rPr>
        <w:t xml:space="preserve">提供的与评分相关的证明材料必须能清</w:t>
      </w:r>
      <w:r>
        <w:rPr>
          <w:rFonts w:ascii="宋体" w:hAnsi="宋体" w:eastAsia="宋体" w:cs="宋体"/>
          <w:b/>
          <w:bCs/>
          <w:i w:val="0"/>
          <w:iCs w:val="0"/>
          <w:color w:val="auto"/>
          <w:spacing w:val="9"/>
          <w:sz w:val="24"/>
          <w:szCs w:val="24"/>
          <w:highlight w:val="none"/>
        </w:rPr>
        <w:t xml:space="preserve">晰的表明需要明示的内容，否则由此引起后果自行承担。</w:t>
      </w:r>
      <w:r/>
    </w:p>
    <w:p>
      <w:pPr>
        <w:pStyle w:val="1112"/>
        <w:jc w:val="left"/>
        <w:keepLines w:val="0"/>
        <w:keepNext/>
        <w:pageBreakBefore w:val="0"/>
        <w:spacing w:line="360" w:lineRule="auto"/>
        <w:widowControl/>
        <w:rPr>
          <w:color w:val="auto"/>
          <w:highlight w:val="none"/>
        </w:rPr>
      </w:pPr>
      <w:r>
        <w:rPr>
          <w:rFonts w:hint="eastAsia" w:ascii="宋体" w:hAnsi="宋体" w:eastAsia="宋体" w:cs="宋体"/>
          <w:b/>
          <w:bCs/>
          <w:i w:val="0"/>
          <w:iCs w:val="0"/>
          <w:color w:val="auto"/>
          <w:spacing w:val="8"/>
          <w:sz w:val="24"/>
          <w:szCs w:val="24"/>
          <w:highlight w:val="none"/>
          <w:lang w:val="en-US" w:eastAsia="zh-CN" w:bidi="ar-SA"/>
        </w:rPr>
        <w:t xml:space="preserve">2、若标书制作工具中格式和内容与“江苏政府采购网”发布的采购文件不一致，请以“江苏政府采购网”发布的采购文件为准。</w:t>
      </w:r>
      <w:r/>
    </w:p>
    <w:p>
      <w:pPr>
        <w:pStyle w:val="1062"/>
        <w:keepLines w:val="0"/>
        <w:keepNext/>
        <w:pageBreakBefore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headerReference w:type="default" r:id="rId11"/>
      <w:footerReference w:type="default" r:id="rId14"/>
      <w:footerReference w:type="first" r:id="rId15"/>
      <w:footnotePr/>
      <w:endnotePr/>
      <w:type w:val="nextPage"/>
      <w:pgSz w:w="11906" w:h="16838" w:orient="portrait"/>
      <w:pgMar w:top="1440" w:right="1800" w:bottom="1440" w:left="1800" w:header="0"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MS Mincho">
    <w:panose1 w:val="020206030504050903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楷体_GB2312">
    <w:panose1 w:val="02010609060101010101"/>
  </w:font>
  <w:font w:name="Courier New">
    <w:panose1 w:val="02070309020205020404"/>
  </w:font>
  <w:font w:name="Calibri">
    <w:panose1 w:val="020F0502020204030204"/>
  </w:font>
  <w:font w:name="黑体">
    <w:panose1 w:val="02010609060101010101"/>
  </w:font>
  <w:font w:name="幼圆">
    <w:panose1 w:val="02010509060101010101"/>
  </w:font>
  <w:font w:name="方正姚体">
    <w:panose1 w:val="0201060103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t xml:space="preserve">江苏宝宏项目管理咨询有限公司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
  </w:p>
  <w:p>
    <w:pPr>
      <w:pStyle w:val="872"/>
    </w:pPr>
    <w:r/>
    <w:r/>
  </w:p>
  <w:p>
    <w:pPr>
      <w:pStyle w:val="872"/>
    </w:pPr>
    <w:r/>
    <w:r/>
  </w:p>
  <w:p>
    <w:pPr>
      <w:pStyle w:val="872"/>
    </w:pPr>
    <w:r/>
    <w:r/>
  </w:p>
  <w:p>
    <w:pPr>
      <w:pStyle w:val="1065"/>
      <w:jc w:val="left"/>
      <w:tabs>
        <w:tab w:val="left" w:pos="8058" w:leader="none"/>
      </w:tabs>
    </w:pPr>
    <w:r>
      <w:rPr>
        <w:rFonts w:hint="eastAsia"/>
        <w:color w:val="000000"/>
      </w:rPr>
      <w:t xml:space="preserve">江苏宝宏项目管理咨询有限公司</w:t>
    </w:r>
    <w:r>
      <w:rPr>
        <w:rFonts w:hint="eastAsia"/>
        <w:color w:val="000000"/>
      </w:rPr>
      <w:tab/>
    </w:r>
    <w:r>
      <w:rPr>
        <w:rFonts w:hint="eastAsia"/>
        <w:color w:val="000000"/>
      </w:rPr>
      <w:t xml:space="preserve">竞争性磋商文件</w:t>
    </w:r>
    <w:r/>
  </w:p>
  <w:p>
    <w:pPr>
      <w:pStyle w:val="8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r>
    <w:r/>
  </w:p>
  <w:p>
    <w:pPr>
      <w:pStyle w:val="1065"/>
      <w:jc w:val="left"/>
      <w:tabs>
        <w:tab w:val="left" w:pos="8058" w:leader="none"/>
      </w:tabs>
      <w:rPr>
        <w:rFonts w:hint="eastAsia"/>
        <w:color w:val="000000"/>
      </w:rPr>
    </w:pPr>
    <w:r>
      <w:rPr>
        <w:rFonts w:hint="eastAsia"/>
        <w:color w:val="000000"/>
      </w:rPr>
      <w:t xml:space="preserve">江苏宝宏项目管理咨询有限公司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129"/>
      <w:isLgl w:val="false"/>
      <w:suff w:val="tab"/>
      <w:lvlText w:val="第%1章"/>
      <w:lvlJc w:val="left"/>
      <w:pPr>
        <w:ind w:left="9351" w:hanging="420"/>
      </w:pPr>
      <w:rPr>
        <w:rFonts w:hint="eastAsia" w:ascii="黑体" w:eastAsia="黑体"/>
        <w:b w:val="0"/>
        <w:sz w:val="36"/>
        <w:lang w:val="en-US"/>
      </w:rPr>
    </w:lvl>
    <w:lvl w:ilvl="1">
      <w:start w:val="1"/>
      <w:numFmt w:val="decimal"/>
      <w:pStyle w:val="113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1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2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4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11"/>
  </w:num>
  <w:num w:numId="4">
    <w:abstractNumId w:val="4"/>
  </w:num>
  <w:num w:numId="5">
    <w:abstractNumId w:val="3"/>
  </w:num>
  <w:num w:numId="6">
    <w:abstractNumId w:val="5"/>
  </w:num>
  <w:num w:numId="7">
    <w:abstractNumId w:val="1"/>
  </w:num>
  <w:num w:numId="8">
    <w:abstractNumId w:val="0"/>
  </w:num>
  <w:num w:numId="9">
    <w:abstractNumId w:val="8"/>
  </w:num>
  <w:num w:numId="10">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link w:val="11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name w:val="Heading 1"/>
    <w:basedOn w:val="841"/>
    <w:next w:val="841"/>
    <w:link w:val="889"/>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link w:val="890"/>
    <w:uiPriority w:val="9"/>
    <w:unhideWhenUsed/>
    <w:qFormat/>
    <w:pPr>
      <w:keepLines/>
      <w:keepNext/>
      <w:spacing w:before="360" w:after="200"/>
      <w:outlineLvl w:val="1"/>
    </w:pPr>
    <w:rPr>
      <w:rFonts w:ascii="Arial" w:hAnsi="Arial" w:eastAsia="Arial" w:cs="Arial"/>
      <w:sz w:val="34"/>
    </w:rPr>
  </w:style>
  <w:style w:type="paragraph" w:styleId="844">
    <w:name w:val="Heading 3"/>
    <w:basedOn w:val="841"/>
    <w:next w:val="841"/>
    <w:link w:val="891"/>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link w:val="892"/>
    <w:uiPriority w:val="9"/>
    <w:unhideWhenUsed/>
    <w:qFormat/>
    <w:pPr>
      <w:keepLines/>
      <w:keepNext/>
      <w:spacing w:before="320" w:after="200"/>
      <w:outlineLvl w:val="3"/>
    </w:pPr>
    <w:rPr>
      <w:rFonts w:ascii="Arial" w:hAnsi="Arial" w:eastAsia="Arial" w:cs="Arial"/>
      <w:b/>
      <w:bCs/>
      <w:sz w:val="26"/>
      <w:szCs w:val="26"/>
    </w:rPr>
  </w:style>
  <w:style w:type="paragraph" w:styleId="846">
    <w:name w:val="Heading 5"/>
    <w:basedOn w:val="841"/>
    <w:next w:val="841"/>
    <w:link w:val="893"/>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94"/>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896"/>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897"/>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toc 7"/>
    <w:basedOn w:val="841"/>
    <w:next w:val="841"/>
    <w:uiPriority w:val="39"/>
    <w:unhideWhenUsed/>
    <w:qFormat/>
    <w:pPr>
      <w:ind w:left="1701" w:right="0" w:firstLine="0"/>
      <w:spacing w:after="57"/>
    </w:pPr>
  </w:style>
  <w:style w:type="paragraph" w:styleId="854">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5">
    <w:name w:val="Body Text"/>
    <w:basedOn w:val="841"/>
    <w:next w:val="856"/>
    <w:uiPriority w:val="99"/>
    <w:unhideWhenUsed/>
    <w:qFormat/>
    <w:pPr>
      <w:spacing w:after="120"/>
    </w:pPr>
  </w:style>
  <w:style w:type="paragraph" w:styleId="856" w:customStyle="1">
    <w:name w:val="一级条标题"/>
    <w:basedOn w:val="857"/>
    <w:next w:val="858"/>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57" w:customStyle="1">
    <w:name w:val="章标题"/>
    <w:basedOn w:val="841"/>
    <w:next w:val="841"/>
    <w:uiPriority w:val="0"/>
    <w:qFormat/>
    <w:pPr>
      <w:jc w:val="center"/>
      <w:spacing w:before="158" w:after="153" w:line="323" w:lineRule="atLeast"/>
      <w:widowControl/>
    </w:pPr>
    <w:rPr>
      <w:rFonts w:ascii="Arial" w:eastAsia="黑体"/>
      <w:color w:val="000000"/>
      <w:sz w:val="31"/>
      <w:szCs w:val="20"/>
    </w:rPr>
  </w:style>
  <w:style w:type="paragraph" w:styleId="858" w:customStyle="1">
    <w:name w:val="段"/>
    <w:basedOn w:val="859"/>
    <w:next w:val="841"/>
    <w:uiPriority w:val="0"/>
    <w:qFormat/>
    <w:pPr>
      <w:ind w:firstLine="200"/>
      <w:jc w:val="both"/>
    </w:pPr>
    <w:rPr>
      <w:rFonts w:hint="default" w:ascii="宋体" w:hAnsi="Calibri" w:eastAsia="宋体" w:cs="Times New Roman"/>
      <w:sz w:val="21"/>
      <w:lang w:val="en-US" w:eastAsia="zh-CN" w:bidi="ar-SA"/>
    </w:rPr>
  </w:style>
  <w:style w:type="paragraph" w:styleId="859" w:customStyle="1">
    <w:name w:val="正文11"/>
    <w:next w:val="8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目录 11"/>
    <w:basedOn w:val="861"/>
    <w:next w:val="859"/>
    <w:uiPriority w:val="39"/>
    <w:qFormat/>
    <w:pPr>
      <w:jc w:val="left"/>
      <w:spacing w:before="120" w:after="120" w:line="300" w:lineRule="exact"/>
      <w:tabs>
        <w:tab w:val="right" w:pos="9440" w:leader="dot"/>
      </w:tabs>
    </w:pPr>
    <w:rPr>
      <w:rFonts w:ascii="黑体" w:eastAsia="黑体"/>
      <w:b/>
      <w:caps/>
      <w:sz w:val="18"/>
      <w:szCs w:val="28"/>
    </w:rPr>
  </w:style>
  <w:style w:type="paragraph" w:styleId="861" w:customStyle="1">
    <w:name w:val="正文12"/>
    <w:next w:val="86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62" w:customStyle="1">
    <w:name w:val="目录 111"/>
    <w:basedOn w:val="863"/>
    <w:next w:val="861"/>
    <w:uiPriority w:val="0"/>
    <w:qFormat/>
    <w:pPr>
      <w:jc w:val="left"/>
      <w:spacing w:after="100" w:line="259" w:lineRule="auto"/>
      <w:widowControl/>
    </w:pPr>
    <w:rPr>
      <w:rFonts w:ascii="Calibri" w:hAnsi="Calibri"/>
      <w:sz w:val="22"/>
      <w:szCs w:val="22"/>
    </w:rPr>
  </w:style>
  <w:style w:type="paragraph" w:styleId="863" w:customStyle="1">
    <w:name w:val="正文111"/>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name w:val="Body Text Indent"/>
    <w:basedOn w:val="841"/>
    <w:next w:val="865"/>
    <w:uiPriority w:val="0"/>
    <w:qFormat/>
    <w:pPr>
      <w:ind w:left="420"/>
      <w:spacing w:after="120"/>
    </w:pPr>
    <w:rPr>
      <w:szCs w:val="20"/>
    </w:rPr>
  </w:style>
  <w:style w:type="paragraph" w:styleId="865">
    <w:name w:val="envelope return"/>
    <w:basedOn w:val="841"/>
    <w:uiPriority w:val="0"/>
    <w:qFormat/>
    <w:pPr>
      <w:spacing w:line="560" w:lineRule="exact"/>
    </w:pPr>
    <w:rPr>
      <w:rFonts w:ascii="Arial" w:hAnsi="Arial" w:eastAsia="仿宋_GB2312" w:cs="Arial"/>
      <w:sz w:val="32"/>
    </w:rPr>
  </w:style>
  <w:style w:type="paragraph" w:styleId="866">
    <w:name w:val="toc 5"/>
    <w:basedOn w:val="841"/>
    <w:next w:val="841"/>
    <w:uiPriority w:val="39"/>
    <w:unhideWhenUsed/>
    <w:qFormat/>
    <w:pPr>
      <w:ind w:left="1134" w:right="0" w:firstLine="0"/>
      <w:spacing w:after="57"/>
    </w:pPr>
  </w:style>
  <w:style w:type="paragraph" w:styleId="867">
    <w:name w:val="toc 3"/>
    <w:basedOn w:val="841"/>
    <w:next w:val="841"/>
    <w:uiPriority w:val="39"/>
    <w:unhideWhenUsed/>
    <w:qFormat/>
    <w:pPr>
      <w:ind w:left="567" w:right="0" w:firstLine="0"/>
      <w:spacing w:after="57"/>
    </w:pPr>
  </w:style>
  <w:style w:type="paragraph" w:styleId="868">
    <w:name w:val="Plain Text"/>
    <w:basedOn w:val="841"/>
    <w:uiPriority w:val="0"/>
    <w:qFormat/>
    <w:pPr>
      <w:ind w:firstLine="0"/>
      <w:jc w:val="both"/>
      <w:spacing w:line="240" w:lineRule="auto"/>
    </w:pPr>
    <w:rPr>
      <w:rFonts w:hAnsi="Courier New" w:eastAsia="楷体_GB2312"/>
      <w:color w:val="000000"/>
      <w:sz w:val="26"/>
    </w:rPr>
  </w:style>
  <w:style w:type="paragraph" w:styleId="869">
    <w:name w:val="toc 8"/>
    <w:basedOn w:val="841"/>
    <w:next w:val="841"/>
    <w:uiPriority w:val="39"/>
    <w:unhideWhenUsed/>
    <w:qFormat/>
    <w:pPr>
      <w:ind w:left="1984" w:right="0" w:firstLine="0"/>
      <w:spacing w:after="57"/>
    </w:pPr>
  </w:style>
  <w:style w:type="paragraph" w:styleId="870">
    <w:name w:val="endnote text"/>
    <w:basedOn w:val="841"/>
    <w:link w:val="1035"/>
    <w:uiPriority w:val="99"/>
    <w:semiHidden/>
    <w:unhideWhenUsed/>
    <w:qFormat/>
    <w:pPr>
      <w:spacing w:after="0" w:line="240" w:lineRule="auto"/>
    </w:pPr>
    <w:rPr>
      <w:sz w:val="20"/>
    </w:rPr>
  </w:style>
  <w:style w:type="paragraph" w:styleId="871">
    <w:name w:val="Footer"/>
    <w:basedOn w:val="841"/>
    <w:link w:val="908"/>
    <w:uiPriority w:val="99"/>
    <w:unhideWhenUsed/>
    <w:qFormat/>
    <w:pPr>
      <w:spacing w:after="0" w:line="240" w:lineRule="auto"/>
      <w:tabs>
        <w:tab w:val="center" w:pos="7143" w:leader="none"/>
        <w:tab w:val="right" w:pos="14287" w:leader="none"/>
      </w:tabs>
    </w:pPr>
  </w:style>
  <w:style w:type="paragraph" w:styleId="872">
    <w:name w:val="Header"/>
    <w:basedOn w:val="841"/>
    <w:link w:val="906"/>
    <w:uiPriority w:val="99"/>
    <w:unhideWhenUsed/>
    <w:qFormat/>
    <w:pPr>
      <w:spacing w:after="0" w:line="240" w:lineRule="auto"/>
      <w:tabs>
        <w:tab w:val="center" w:pos="7143" w:leader="none"/>
        <w:tab w:val="right" w:pos="14287" w:leader="none"/>
      </w:tabs>
    </w:pPr>
  </w:style>
  <w:style w:type="paragraph" w:styleId="873">
    <w:name w:val="toc 1"/>
    <w:basedOn w:val="841"/>
    <w:next w:val="841"/>
    <w:uiPriority w:val="39"/>
    <w:unhideWhenUsed/>
    <w:qFormat/>
    <w:pPr>
      <w:ind w:left="0" w:right="0" w:firstLine="0"/>
      <w:spacing w:after="57"/>
    </w:pPr>
  </w:style>
  <w:style w:type="paragraph" w:styleId="874">
    <w:name w:val="toc 4"/>
    <w:basedOn w:val="841"/>
    <w:next w:val="841"/>
    <w:uiPriority w:val="39"/>
    <w:unhideWhenUsed/>
    <w:qFormat/>
    <w:pPr>
      <w:ind w:left="850" w:right="0" w:firstLine="0"/>
      <w:spacing w:after="57"/>
    </w:pPr>
  </w:style>
  <w:style w:type="paragraph" w:styleId="875">
    <w:name w:val="Subtitle"/>
    <w:basedOn w:val="841"/>
    <w:next w:val="841"/>
    <w:link w:val="901"/>
    <w:uiPriority w:val="11"/>
    <w:qFormat/>
    <w:pPr>
      <w:spacing w:before="200" w:after="200"/>
    </w:pPr>
    <w:rPr>
      <w:sz w:val="24"/>
      <w:szCs w:val="24"/>
    </w:rPr>
  </w:style>
  <w:style w:type="paragraph" w:styleId="876">
    <w:name w:val="footnote text"/>
    <w:basedOn w:val="841"/>
    <w:link w:val="1034"/>
    <w:uiPriority w:val="99"/>
    <w:semiHidden/>
    <w:unhideWhenUsed/>
    <w:qFormat/>
    <w:pPr>
      <w:spacing w:after="40" w:line="240" w:lineRule="auto"/>
    </w:pPr>
    <w:rPr>
      <w:sz w:val="18"/>
    </w:rPr>
  </w:style>
  <w:style w:type="paragraph" w:styleId="877">
    <w:name w:val="toc 6"/>
    <w:basedOn w:val="841"/>
    <w:next w:val="841"/>
    <w:uiPriority w:val="39"/>
    <w:unhideWhenUsed/>
    <w:qFormat/>
    <w:pPr>
      <w:ind w:left="1417" w:right="0" w:firstLine="0"/>
      <w:spacing w:after="57"/>
    </w:pPr>
  </w:style>
  <w:style w:type="paragraph" w:styleId="878">
    <w:name w:val="table of figures"/>
    <w:basedOn w:val="841"/>
    <w:next w:val="841"/>
    <w:uiPriority w:val="99"/>
    <w:unhideWhenUsed/>
    <w:qFormat/>
    <w:pPr>
      <w:spacing w:after="0" w:afterAutospacing="0"/>
    </w:pPr>
  </w:style>
  <w:style w:type="paragraph" w:styleId="879">
    <w:name w:val="toc 2"/>
    <w:basedOn w:val="841"/>
    <w:next w:val="841"/>
    <w:uiPriority w:val="39"/>
    <w:unhideWhenUsed/>
    <w:qFormat/>
    <w:pPr>
      <w:ind w:left="283" w:right="0" w:firstLine="0"/>
      <w:spacing w:after="57"/>
    </w:pPr>
  </w:style>
  <w:style w:type="paragraph" w:styleId="880">
    <w:name w:val="toc 9"/>
    <w:basedOn w:val="841"/>
    <w:next w:val="841"/>
    <w:uiPriority w:val="39"/>
    <w:unhideWhenUsed/>
    <w:qFormat/>
    <w:pPr>
      <w:ind w:left="2268" w:right="0" w:firstLine="0"/>
      <w:spacing w:after="57"/>
    </w:pPr>
  </w:style>
  <w:style w:type="paragraph" w:styleId="881">
    <w:name w:val="Normal (Web)"/>
    <w:basedOn w:val="841"/>
    <w:uiPriority w:val="99"/>
    <w:unhideWhenUsed/>
    <w:qFormat/>
    <w:pPr>
      <w:jc w:val="left"/>
      <w:spacing w:before="100" w:beforeAutospacing="1" w:after="100" w:afterAutospacing="1"/>
      <w:widowControl/>
    </w:pPr>
    <w:rPr>
      <w:rFonts w:ascii="宋体" w:hAnsi="宋体" w:cs="宋体"/>
      <w:sz w:val="24"/>
    </w:rPr>
  </w:style>
  <w:style w:type="paragraph" w:styleId="882">
    <w:name w:val="Title"/>
    <w:basedOn w:val="841"/>
    <w:next w:val="841"/>
    <w:link w:val="900"/>
    <w:uiPriority w:val="10"/>
    <w:qFormat/>
    <w:pPr>
      <w:contextualSpacing/>
      <w:spacing w:before="300" w:after="200"/>
    </w:pPr>
    <w:rPr>
      <w:sz w:val="48"/>
      <w:szCs w:val="48"/>
    </w:rPr>
  </w:style>
  <w:style w:type="paragraph" w:styleId="883">
    <w:name w:val="Body Text First Indent"/>
    <w:basedOn w:val="855"/>
    <w:next w:val="884"/>
    <w:uiPriority w:val="99"/>
    <w:unhideWhenUsed/>
    <w:qFormat/>
    <w:pPr>
      <w:ind w:firstLine="420"/>
    </w:pPr>
    <w:rPr>
      <w:rFonts w:ascii="Calibri" w:hAnsi="Calibri" w:eastAsia="宋体"/>
    </w:rPr>
  </w:style>
  <w:style w:type="paragraph" w:styleId="884">
    <w:name w:val="Body Text First Indent 2"/>
    <w:basedOn w:val="864"/>
    <w:next w:val="841"/>
    <w:uiPriority w:val="0"/>
    <w:qFormat/>
    <w:pPr>
      <w:ind w:left="0" w:firstLine="420"/>
      <w:spacing w:after="0" w:line="360" w:lineRule="auto"/>
    </w:pPr>
    <w:rPr>
      <w:rFonts w:ascii="宋体" w:hAnsi="宋体"/>
    </w:rPr>
  </w:style>
  <w:style w:type="table" w:styleId="8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character" w:styleId="889" w:customStyle="1">
    <w:name w:val="Heading 1 Char"/>
    <w:link w:val="842"/>
    <w:uiPriority w:val="9"/>
    <w:qFormat/>
    <w:rPr>
      <w:rFonts w:ascii="Arial" w:hAnsi="Arial" w:eastAsia="Arial" w:cs="Arial"/>
      <w:sz w:val="40"/>
      <w:szCs w:val="40"/>
    </w:rPr>
  </w:style>
  <w:style w:type="character" w:styleId="890" w:customStyle="1">
    <w:name w:val="Heading 2 Char"/>
    <w:link w:val="843"/>
    <w:uiPriority w:val="9"/>
    <w:qFormat/>
    <w:rPr>
      <w:rFonts w:ascii="Arial" w:hAnsi="Arial" w:eastAsia="Arial" w:cs="Arial"/>
      <w:sz w:val="34"/>
    </w:rPr>
  </w:style>
  <w:style w:type="character" w:styleId="891" w:customStyle="1">
    <w:name w:val="Heading 3 Char"/>
    <w:link w:val="844"/>
    <w:uiPriority w:val="9"/>
    <w:qFormat/>
    <w:rPr>
      <w:rFonts w:ascii="Arial" w:hAnsi="Arial" w:eastAsia="Arial" w:cs="Arial"/>
      <w:sz w:val="30"/>
      <w:szCs w:val="30"/>
    </w:rPr>
  </w:style>
  <w:style w:type="character" w:styleId="892" w:customStyle="1">
    <w:name w:val="Heading 4 Char"/>
    <w:link w:val="845"/>
    <w:uiPriority w:val="9"/>
    <w:qFormat/>
    <w:rPr>
      <w:rFonts w:ascii="Arial" w:hAnsi="Arial" w:eastAsia="Arial" w:cs="Arial"/>
      <w:b/>
      <w:bCs/>
      <w:sz w:val="26"/>
      <w:szCs w:val="26"/>
    </w:rPr>
  </w:style>
  <w:style w:type="character" w:styleId="893" w:customStyle="1">
    <w:name w:val="Heading 5 Char"/>
    <w:link w:val="846"/>
    <w:uiPriority w:val="9"/>
    <w:qFormat/>
    <w:rPr>
      <w:rFonts w:ascii="Arial" w:hAnsi="Arial" w:eastAsia="Arial" w:cs="Arial"/>
      <w:b/>
      <w:bCs/>
      <w:sz w:val="24"/>
      <w:szCs w:val="24"/>
    </w:rPr>
  </w:style>
  <w:style w:type="character" w:styleId="894" w:customStyle="1">
    <w:name w:val="Heading 6 Char"/>
    <w:link w:val="847"/>
    <w:uiPriority w:val="9"/>
    <w:qFormat/>
    <w:rPr>
      <w:rFonts w:ascii="Arial" w:hAnsi="Arial" w:eastAsia="Arial" w:cs="Arial"/>
      <w:b/>
      <w:bCs/>
      <w:sz w:val="22"/>
      <w:szCs w:val="22"/>
    </w:rPr>
  </w:style>
  <w:style w:type="character" w:styleId="895" w:customStyle="1">
    <w:name w:val="Heading 7 Char"/>
    <w:link w:val="848"/>
    <w:uiPriority w:val="9"/>
    <w:qFormat/>
    <w:rPr>
      <w:rFonts w:ascii="Arial" w:hAnsi="Arial" w:eastAsia="Arial" w:cs="Arial"/>
      <w:b/>
      <w:bCs/>
      <w:i/>
      <w:iCs/>
      <w:sz w:val="22"/>
      <w:szCs w:val="22"/>
    </w:rPr>
  </w:style>
  <w:style w:type="character" w:styleId="896" w:customStyle="1">
    <w:name w:val="Heading 8 Char"/>
    <w:link w:val="849"/>
    <w:uiPriority w:val="9"/>
    <w:qFormat/>
    <w:rPr>
      <w:rFonts w:ascii="Arial" w:hAnsi="Arial" w:eastAsia="Arial" w:cs="Arial"/>
      <w:i/>
      <w:iCs/>
      <w:sz w:val="22"/>
      <w:szCs w:val="22"/>
    </w:rPr>
  </w:style>
  <w:style w:type="character" w:styleId="897" w:customStyle="1">
    <w:name w:val="Heading 9 Char"/>
    <w:link w:val="850"/>
    <w:uiPriority w:val="9"/>
    <w:qFormat/>
    <w:rPr>
      <w:rFonts w:ascii="Arial" w:hAnsi="Arial" w:eastAsia="Arial" w:cs="Arial"/>
      <w:i/>
      <w:iCs/>
      <w:sz w:val="21"/>
      <w:szCs w:val="21"/>
    </w:rPr>
  </w:style>
  <w:style w:type="paragraph" w:styleId="898">
    <w:name w:val="List Paragraph"/>
    <w:basedOn w:val="841"/>
    <w:uiPriority w:val="34"/>
    <w:qFormat/>
    <w:pPr>
      <w:contextualSpacing/>
      <w:ind w:left="720"/>
    </w:pPr>
  </w:style>
  <w:style w:type="paragraph" w:styleId="899">
    <w:name w:val="No Spacing"/>
    <w:uiPriority w:val="1"/>
    <w:qFormat/>
    <w:pPr>
      <w:spacing w:before="0" w:after="0" w:line="240" w:lineRule="auto"/>
    </w:pPr>
    <w:rPr>
      <w:rFonts w:hint="default" w:ascii="Times New Roman" w:hAnsi="Times New Roman" w:eastAsia="宋体" w:cs="Times New Roman"/>
    </w:rPr>
  </w:style>
  <w:style w:type="character" w:styleId="900" w:customStyle="1">
    <w:name w:val="Title Char"/>
    <w:link w:val="882"/>
    <w:uiPriority w:val="10"/>
    <w:qFormat/>
    <w:rPr>
      <w:sz w:val="48"/>
      <w:szCs w:val="48"/>
    </w:rPr>
  </w:style>
  <w:style w:type="character" w:styleId="901" w:customStyle="1">
    <w:name w:val="Subtitle Char"/>
    <w:link w:val="875"/>
    <w:uiPriority w:val="11"/>
    <w:qFormat/>
    <w:rPr>
      <w:sz w:val="24"/>
      <w:szCs w:val="24"/>
    </w:rPr>
  </w:style>
  <w:style w:type="paragraph" w:styleId="902">
    <w:name w:val="Quote"/>
    <w:basedOn w:val="841"/>
    <w:next w:val="841"/>
    <w:link w:val="903"/>
    <w:uiPriority w:val="29"/>
    <w:qFormat/>
    <w:pPr>
      <w:ind w:left="720" w:right="720"/>
    </w:pPr>
    <w:rPr>
      <w:i/>
    </w:rPr>
  </w:style>
  <w:style w:type="character" w:styleId="903" w:customStyle="1">
    <w:name w:val="Quote Char"/>
    <w:link w:val="902"/>
    <w:uiPriority w:val="29"/>
    <w:qFormat/>
    <w:rPr>
      <w:i/>
    </w:rPr>
  </w:style>
  <w:style w:type="paragraph" w:styleId="904">
    <w:name w:val="Intense Quote"/>
    <w:basedOn w:val="841"/>
    <w:next w:val="841"/>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Intense Quote Char"/>
    <w:link w:val="904"/>
    <w:uiPriority w:val="30"/>
    <w:qFormat/>
    <w:rPr>
      <w:i/>
    </w:rPr>
  </w:style>
  <w:style w:type="character" w:styleId="906" w:customStyle="1">
    <w:name w:val="Header Char"/>
    <w:link w:val="872"/>
    <w:uiPriority w:val="99"/>
    <w:qFormat/>
  </w:style>
  <w:style w:type="character" w:styleId="907" w:customStyle="1">
    <w:name w:val="Footer Char"/>
    <w:link w:val="871"/>
    <w:uiPriority w:val="99"/>
    <w:qFormat/>
  </w:style>
  <w:style w:type="character" w:styleId="908" w:customStyle="1">
    <w:name w:val="Caption Char"/>
    <w:link w:val="871"/>
    <w:uiPriority w:val="99"/>
    <w:qFormat/>
  </w:style>
  <w:style w:type="table" w:styleId="9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Footnote Text Char"/>
    <w:link w:val="876"/>
    <w:uiPriority w:val="99"/>
    <w:qFormat/>
    <w:rPr>
      <w:sz w:val="18"/>
    </w:rPr>
  </w:style>
  <w:style w:type="character" w:styleId="1035" w:customStyle="1">
    <w:name w:val="Endnote Text Char"/>
    <w:link w:val="870"/>
    <w:uiPriority w:val="99"/>
    <w:qFormat/>
    <w:rPr>
      <w:sz w:val="20"/>
    </w:rPr>
  </w:style>
  <w:style w:type="paragraph" w:styleId="1036" w:customStyle="1">
    <w:name w:val="TOC Heading"/>
    <w:uiPriority w:val="39"/>
    <w:unhideWhenUsed/>
    <w:qFormat/>
    <w:rPr>
      <w:rFonts w:hint="default" w:ascii="Times New Roman" w:hAnsi="Times New Roman" w:eastAsia="宋体" w:cs="Times New Roman"/>
    </w:rPr>
  </w:style>
  <w:style w:type="paragraph" w:styleId="1037" w:customStyle="1">
    <w:name w:val="标题 11"/>
    <w:basedOn w:val="841"/>
    <w:next w:val="841"/>
    <w:link w:val="1098"/>
    <w:uiPriority w:val="0"/>
    <w:qFormat/>
    <w:pPr>
      <w:keepNext/>
      <w:outlineLvl w:val="0"/>
    </w:pPr>
    <w:rPr>
      <w:rFonts w:ascii="楷体_GB2312" w:eastAsia="楷体_GB2312"/>
      <w:sz w:val="28"/>
      <w:szCs w:val="20"/>
    </w:rPr>
  </w:style>
  <w:style w:type="paragraph" w:styleId="1038" w:customStyle="1">
    <w:name w:val="标题 21"/>
    <w:basedOn w:val="841"/>
    <w:next w:val="841"/>
    <w:uiPriority w:val="0"/>
    <w:qFormat/>
    <w:pPr>
      <w:jc w:val="center"/>
      <w:keepLines/>
      <w:keepNext/>
      <w:spacing w:before="260" w:after="260" w:line="416" w:lineRule="auto"/>
      <w:outlineLvl w:val="1"/>
    </w:pPr>
    <w:rPr>
      <w:rFonts w:ascii="Arial" w:hAnsi="Arial" w:eastAsia="幼圆"/>
      <w:b/>
      <w:sz w:val="44"/>
      <w:szCs w:val="20"/>
    </w:rPr>
  </w:style>
  <w:style w:type="paragraph" w:styleId="1039" w:customStyle="1">
    <w:name w:val="标题 31"/>
    <w:basedOn w:val="841"/>
    <w:next w:val="841"/>
    <w:uiPriority w:val="0"/>
    <w:qFormat/>
    <w:pPr>
      <w:keepLines/>
      <w:keepNext/>
      <w:spacing w:before="260" w:after="260" w:line="416" w:lineRule="auto"/>
      <w:outlineLvl w:val="2"/>
    </w:pPr>
    <w:rPr>
      <w:b/>
      <w:sz w:val="32"/>
      <w:szCs w:val="20"/>
    </w:rPr>
  </w:style>
  <w:style w:type="paragraph" w:styleId="1040" w:customStyle="1">
    <w:name w:val="标题 41"/>
    <w:basedOn w:val="841"/>
    <w:next w:val="841"/>
    <w:uiPriority w:val="0"/>
    <w:qFormat/>
    <w:pPr>
      <w:keepLines/>
      <w:keepNext/>
      <w:spacing w:before="280" w:after="290" w:line="376" w:lineRule="auto"/>
      <w:outlineLvl w:val="3"/>
    </w:pPr>
    <w:rPr>
      <w:rFonts w:ascii="Arial" w:hAnsi="Arial" w:eastAsia="黑体"/>
      <w:b/>
      <w:bCs/>
      <w:sz w:val="28"/>
      <w:szCs w:val="28"/>
    </w:rPr>
  </w:style>
  <w:style w:type="paragraph" w:styleId="1041" w:customStyle="1">
    <w:name w:val="标题 51"/>
    <w:basedOn w:val="841"/>
    <w:next w:val="841"/>
    <w:uiPriority w:val="0"/>
    <w:qFormat/>
    <w:pPr>
      <w:keepNext/>
      <w:outlineLvl w:val="4"/>
    </w:pPr>
    <w:rPr>
      <w:rFonts w:ascii="宋体" w:hAnsi="宋体"/>
      <w:b/>
      <w:bCs/>
    </w:rPr>
  </w:style>
  <w:style w:type="character" w:styleId="1042" w:customStyle="1">
    <w:name w:val="默认段落字体1"/>
    <w:link w:val="841"/>
    <w:uiPriority w:val="0"/>
    <w:semiHidden/>
    <w:qFormat/>
  </w:style>
  <w:style w:type="table" w:styleId="1043" w:customStyle="1">
    <w:name w:val="普通表格1"/>
    <w:uiPriority w:val="0"/>
    <w:semiHidden/>
    <w:qFormat/>
    <w:tblPr/>
  </w:style>
  <w:style w:type="character" w:styleId="1044" w:customStyle="1">
    <w:name w:val="标题 1 字符"/>
    <w:basedOn w:val="1042"/>
    <w:link w:val="1037"/>
    <w:uiPriority w:val="9"/>
    <w:qFormat/>
    <w:rPr>
      <w:b/>
      <w:sz w:val="28"/>
      <w:szCs w:val="20"/>
    </w:rPr>
  </w:style>
  <w:style w:type="paragraph" w:styleId="1045" w:customStyle="1">
    <w:name w:val="目录 71"/>
    <w:basedOn w:val="841"/>
    <w:next w:val="841"/>
    <w:uiPriority w:val="0"/>
    <w:semiHidden/>
    <w:qFormat/>
    <w:pPr>
      <w:ind w:left="2520"/>
    </w:pPr>
  </w:style>
  <w:style w:type="paragraph" w:styleId="1046" w:customStyle="1">
    <w:name w:val="正文缩进1"/>
    <w:basedOn w:val="841"/>
    <w:link w:val="1047"/>
    <w:uiPriority w:val="0"/>
    <w:qFormat/>
    <w:pPr>
      <w:ind w:firstLine="420"/>
    </w:pPr>
    <w:rPr>
      <w:szCs w:val="20"/>
    </w:rPr>
  </w:style>
  <w:style w:type="character" w:styleId="1047" w:customStyle="1">
    <w:name w:val="正文缩进 Char"/>
    <w:link w:val="1046"/>
    <w:uiPriority w:val="0"/>
    <w:qFormat/>
    <w:rPr>
      <w:rFonts w:eastAsia="宋体"/>
      <w:sz w:val="21"/>
      <w:lang w:val="en-US" w:eastAsia="zh-CN" w:bidi="ar-SA"/>
    </w:rPr>
  </w:style>
  <w:style w:type="paragraph" w:styleId="1048" w:customStyle="1">
    <w:name w:val="文档结构图1"/>
    <w:basedOn w:val="841"/>
    <w:uiPriority w:val="0"/>
    <w:semiHidden/>
    <w:qFormat/>
    <w:pPr>
      <w:shd w:val="clear" w:color="auto" w:fill="000080"/>
    </w:pPr>
  </w:style>
  <w:style w:type="paragraph" w:styleId="1049" w:customStyle="1">
    <w:name w:val="批注文字1"/>
    <w:basedOn w:val="841"/>
    <w:link w:val="1050"/>
    <w:uiPriority w:val="0"/>
    <w:qFormat/>
    <w:pPr>
      <w:jc w:val="left"/>
    </w:pPr>
  </w:style>
  <w:style w:type="character" w:styleId="1050" w:customStyle="1">
    <w:name w:val="批注文字 Char"/>
    <w:link w:val="1049"/>
    <w:uiPriority w:val="0"/>
    <w:qFormat/>
    <w:rPr>
      <w:sz w:val="21"/>
      <w:szCs w:val="24"/>
    </w:rPr>
  </w:style>
  <w:style w:type="paragraph" w:styleId="1051" w:customStyle="1">
    <w:name w:val="正文文本 31"/>
    <w:basedOn w:val="841"/>
    <w:uiPriority w:val="0"/>
    <w:qFormat/>
    <w:rPr>
      <w:rFonts w:ascii="仿宋_GB2312" w:hAnsi="Arial" w:eastAsia="仿宋_GB2312"/>
      <w:sz w:val="32"/>
      <w:szCs w:val="20"/>
    </w:rPr>
  </w:style>
  <w:style w:type="paragraph" w:styleId="1052" w:customStyle="1">
    <w:name w:val="正文文本1"/>
    <w:basedOn w:val="841"/>
    <w:next w:val="841"/>
    <w:uiPriority w:val="0"/>
    <w:qFormat/>
    <w:rPr>
      <w:rFonts w:ascii="楷体_GB2312" w:hAnsi="Arial" w:eastAsia="楷体_GB2312"/>
      <w:sz w:val="28"/>
      <w:szCs w:val="20"/>
    </w:rPr>
  </w:style>
  <w:style w:type="paragraph" w:styleId="1053" w:customStyle="1">
    <w:name w:val="正文文本缩进1"/>
    <w:basedOn w:val="841"/>
    <w:next w:val="1054"/>
    <w:uiPriority w:val="0"/>
    <w:qFormat/>
    <w:pPr>
      <w:ind w:firstLine="645"/>
    </w:pPr>
    <w:rPr>
      <w:rFonts w:ascii="楷体_GB2312" w:eastAsia="楷体_GB2312"/>
      <w:sz w:val="32"/>
      <w:szCs w:val="20"/>
    </w:rPr>
  </w:style>
  <w:style w:type="paragraph" w:styleId="1054" w:customStyle="1">
    <w:name w:val="寄信人地址1"/>
    <w:basedOn w:val="841"/>
    <w:uiPriority w:val="99"/>
    <w:qFormat/>
    <w:rPr>
      <w:rFonts w:ascii="Arial" w:hAnsi="Arial"/>
    </w:rPr>
  </w:style>
  <w:style w:type="paragraph" w:styleId="1055" w:customStyle="1">
    <w:name w:val="文本块1"/>
    <w:basedOn w:val="841"/>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1056" w:customStyle="1">
    <w:name w:val="目录 51"/>
    <w:basedOn w:val="841"/>
    <w:next w:val="841"/>
    <w:uiPriority w:val="0"/>
    <w:semiHidden/>
    <w:qFormat/>
    <w:pPr>
      <w:ind w:left="1680"/>
    </w:pPr>
  </w:style>
  <w:style w:type="paragraph" w:styleId="1057" w:customStyle="1">
    <w:name w:val="目录 31"/>
    <w:basedOn w:val="841"/>
    <w:next w:val="841"/>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58" w:customStyle="1">
    <w:name w:val="纯文本1"/>
    <w:basedOn w:val="841"/>
    <w:link w:val="1059"/>
    <w:uiPriority w:val="0"/>
    <w:qFormat/>
    <w:rPr>
      <w:rFonts w:ascii="宋体" w:hAnsi="Courier New"/>
      <w:szCs w:val="20"/>
    </w:rPr>
  </w:style>
  <w:style w:type="character" w:styleId="1059" w:customStyle="1">
    <w:name w:val="纯文本 Char"/>
    <w:link w:val="1058"/>
    <w:uiPriority w:val="0"/>
    <w:qFormat/>
    <w:rPr>
      <w:rFonts w:ascii="宋体" w:hAnsi="Courier New"/>
      <w:sz w:val="21"/>
    </w:rPr>
  </w:style>
  <w:style w:type="paragraph" w:styleId="1060" w:customStyle="1">
    <w:name w:val="目录 81"/>
    <w:basedOn w:val="841"/>
    <w:next w:val="841"/>
    <w:uiPriority w:val="0"/>
    <w:semiHidden/>
    <w:qFormat/>
    <w:pPr>
      <w:ind w:left="2940"/>
    </w:pPr>
  </w:style>
  <w:style w:type="paragraph" w:styleId="1061" w:customStyle="1">
    <w:name w:val="日期1"/>
    <w:basedOn w:val="841"/>
    <w:next w:val="841"/>
    <w:uiPriority w:val="0"/>
    <w:qFormat/>
    <w:rPr>
      <w:sz w:val="24"/>
      <w:szCs w:val="20"/>
    </w:rPr>
  </w:style>
  <w:style w:type="paragraph" w:styleId="1062" w:customStyle="1">
    <w:name w:val="正文文本缩进 21"/>
    <w:basedOn w:val="841"/>
    <w:uiPriority w:val="0"/>
    <w:qFormat/>
    <w:pPr>
      <w:ind w:firstLine="560"/>
    </w:pPr>
    <w:rPr>
      <w:rFonts w:ascii="宋体" w:hAnsi="宋体"/>
      <w:sz w:val="28"/>
    </w:rPr>
  </w:style>
  <w:style w:type="paragraph" w:styleId="1063" w:customStyle="1">
    <w:name w:val="批注框文本1"/>
    <w:basedOn w:val="841"/>
    <w:uiPriority w:val="0"/>
    <w:semiHidden/>
    <w:qFormat/>
    <w:rPr>
      <w:sz w:val="18"/>
      <w:szCs w:val="18"/>
    </w:rPr>
  </w:style>
  <w:style w:type="paragraph" w:styleId="1064" w:customStyle="1">
    <w:name w:val="页脚1"/>
    <w:basedOn w:val="841"/>
    <w:uiPriority w:val="0"/>
    <w:qFormat/>
    <w:pPr>
      <w:jc w:val="left"/>
      <w:tabs>
        <w:tab w:val="center" w:pos="4153" w:leader="none"/>
        <w:tab w:val="right" w:pos="8306" w:leader="none"/>
      </w:tabs>
    </w:pPr>
    <w:rPr>
      <w:sz w:val="18"/>
      <w:szCs w:val="20"/>
    </w:rPr>
  </w:style>
  <w:style w:type="paragraph" w:styleId="1065" w:customStyle="1">
    <w:name w:val="页眉1"/>
    <w:basedOn w:val="841"/>
    <w:next w:val="1066"/>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Quote1"/>
    <w:basedOn w:val="841"/>
    <w:next w:val="841"/>
    <w:uiPriority w:val="99"/>
    <w:qFormat/>
    <w:pPr>
      <w:ind w:left="864" w:right="864"/>
      <w:jc w:val="center"/>
      <w:spacing w:before="200" w:after="160"/>
      <w:widowControl/>
    </w:pPr>
    <w:rPr>
      <w:rFonts w:ascii="宋体"/>
      <w:i/>
      <w:color w:val="404040"/>
    </w:rPr>
  </w:style>
  <w:style w:type="paragraph" w:styleId="1067" w:customStyle="1">
    <w:name w:val="目录 41"/>
    <w:basedOn w:val="841"/>
    <w:next w:val="841"/>
    <w:uiPriority w:val="0"/>
    <w:semiHidden/>
    <w:qFormat/>
    <w:pPr>
      <w:ind w:left="1260"/>
    </w:pPr>
  </w:style>
  <w:style w:type="paragraph" w:styleId="1068" w:customStyle="1">
    <w:name w:val="副标题1"/>
    <w:basedOn w:val="841"/>
    <w:next w:val="841"/>
    <w:link w:val="1069"/>
    <w:uiPriority w:val="0"/>
    <w:qFormat/>
    <w:pPr>
      <w:jc w:val="center"/>
      <w:spacing w:before="240" w:after="60" w:line="312" w:lineRule="auto"/>
      <w:outlineLvl w:val="1"/>
    </w:pPr>
    <w:rPr>
      <w:rFonts w:ascii="Cambria" w:hAnsi="Cambria"/>
      <w:b/>
      <w:bCs/>
      <w:sz w:val="32"/>
      <w:szCs w:val="32"/>
    </w:rPr>
  </w:style>
  <w:style w:type="character" w:styleId="1069" w:customStyle="1">
    <w:name w:val="副标题 Char"/>
    <w:basedOn w:val="1042"/>
    <w:link w:val="1068"/>
    <w:uiPriority w:val="0"/>
    <w:qFormat/>
    <w:rPr>
      <w:rFonts w:ascii="Cambria" w:hAnsi="Cambria"/>
      <w:b/>
      <w:bCs/>
      <w:sz w:val="32"/>
      <w:szCs w:val="32"/>
    </w:rPr>
  </w:style>
  <w:style w:type="paragraph" w:styleId="1070" w:customStyle="1">
    <w:name w:val="目录 61"/>
    <w:basedOn w:val="841"/>
    <w:next w:val="841"/>
    <w:uiPriority w:val="0"/>
    <w:semiHidden/>
    <w:qFormat/>
    <w:pPr>
      <w:ind w:left="2100"/>
    </w:pPr>
  </w:style>
  <w:style w:type="paragraph" w:styleId="1071" w:customStyle="1">
    <w:name w:val="正文文本缩进 31"/>
    <w:basedOn w:val="841"/>
    <w:uiPriority w:val="0"/>
    <w:qFormat/>
    <w:pPr>
      <w:ind w:firstLine="523"/>
    </w:pPr>
    <w:rPr>
      <w:rFonts w:ascii="仿宋_GB2312" w:hAnsi="宋体" w:eastAsia="仿宋_GB2312"/>
      <w:sz w:val="24"/>
    </w:rPr>
  </w:style>
  <w:style w:type="paragraph" w:styleId="1072" w:customStyle="1">
    <w:name w:val="目录 21"/>
    <w:basedOn w:val="841"/>
    <w:next w:val="841"/>
    <w:uiPriority w:val="39"/>
    <w:qFormat/>
    <w:pPr>
      <w:jc w:val="left"/>
      <w:spacing w:line="260" w:lineRule="exact"/>
      <w:tabs>
        <w:tab w:val="right" w:pos="9440" w:leader="dot"/>
      </w:tabs>
    </w:pPr>
    <w:rPr>
      <w:rFonts w:ascii="黑体" w:eastAsia="黑体"/>
      <w:b/>
      <w:bCs/>
      <w:smallCaps/>
      <w:sz w:val="18"/>
      <w:szCs w:val="44"/>
    </w:rPr>
  </w:style>
  <w:style w:type="paragraph" w:styleId="1073" w:customStyle="1">
    <w:name w:val="目录 91"/>
    <w:basedOn w:val="841"/>
    <w:next w:val="841"/>
    <w:uiPriority w:val="0"/>
    <w:semiHidden/>
    <w:qFormat/>
    <w:pPr>
      <w:ind w:left="3360"/>
    </w:pPr>
  </w:style>
  <w:style w:type="paragraph" w:styleId="1074" w:customStyle="1">
    <w:name w:val="正文文本 21"/>
    <w:basedOn w:val="841"/>
    <w:uiPriority w:val="0"/>
    <w:qFormat/>
    <w:pPr>
      <w:jc w:val="center"/>
    </w:pPr>
    <w:rPr>
      <w:rFonts w:ascii="仿宋_GB2312" w:eastAsia="仿宋_GB2312"/>
      <w:sz w:val="44"/>
    </w:rPr>
  </w:style>
  <w:style w:type="paragraph" w:styleId="1075" w:customStyle="1">
    <w:name w:val="信息标题1"/>
    <w:basedOn w:val="84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6" w:customStyle="1">
    <w:name w:val="HTML 预设格式1"/>
    <w:basedOn w:val="841"/>
    <w:link w:val="10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77" w:customStyle="1">
    <w:name w:val="HTML 预设格式 Char"/>
    <w:link w:val="1076"/>
    <w:uiPriority w:val="0"/>
    <w:qFormat/>
    <w:rPr>
      <w:rFonts w:ascii="黑体" w:hAnsi="Courier New" w:eastAsia="黑体" w:cs="Courier New"/>
    </w:rPr>
  </w:style>
  <w:style w:type="paragraph" w:styleId="1078" w:customStyle="1">
    <w:name w:val="普通(网站)1"/>
    <w:basedOn w:val="841"/>
    <w:uiPriority w:val="0"/>
    <w:unhideWhenUsed/>
    <w:qFormat/>
    <w:pPr>
      <w:jc w:val="left"/>
      <w:spacing w:before="100" w:beforeAutospacing="1" w:after="100" w:afterAutospacing="1"/>
      <w:widowControl/>
    </w:pPr>
    <w:rPr>
      <w:rFonts w:ascii="宋体" w:hAnsi="宋体" w:cs="宋体"/>
      <w:sz w:val="24"/>
    </w:rPr>
  </w:style>
  <w:style w:type="paragraph" w:styleId="1079" w:customStyle="1">
    <w:name w:val="索引 11"/>
    <w:basedOn w:val="841"/>
    <w:next w:val="841"/>
    <w:uiPriority w:val="0"/>
    <w:semiHidden/>
    <w:qFormat/>
    <w:rPr>
      <w:rFonts w:ascii="宋体" w:hAnsi="宋体"/>
      <w:szCs w:val="18"/>
    </w:rPr>
  </w:style>
  <w:style w:type="paragraph" w:styleId="1080" w:customStyle="1">
    <w:name w:val="批注主题1"/>
    <w:basedOn w:val="1049"/>
    <w:next w:val="1049"/>
    <w:link w:val="1081"/>
    <w:uiPriority w:val="0"/>
    <w:qFormat/>
    <w:rPr>
      <w:b/>
      <w:bCs/>
    </w:rPr>
  </w:style>
  <w:style w:type="character" w:styleId="1081" w:customStyle="1">
    <w:name w:val="批注主题 Char"/>
    <w:link w:val="1080"/>
    <w:uiPriority w:val="0"/>
    <w:qFormat/>
    <w:rPr>
      <w:b/>
      <w:bCs/>
      <w:sz w:val="21"/>
      <w:szCs w:val="24"/>
    </w:rPr>
  </w:style>
  <w:style w:type="paragraph" w:styleId="1082" w:customStyle="1">
    <w:name w:val="正文首行缩进1"/>
    <w:basedOn w:val="1052"/>
    <w:next w:val="1070"/>
    <w:uiPriority w:val="99"/>
    <w:unhideWhenUsed/>
    <w:qFormat/>
    <w:pPr>
      <w:ind w:firstLine="420"/>
    </w:pPr>
  </w:style>
  <w:style w:type="paragraph" w:styleId="1083" w:customStyle="1">
    <w:name w:val="正文首行缩进 21"/>
    <w:basedOn w:val="1053"/>
    <w:uiPriority w:val="0"/>
    <w:qFormat/>
    <w:pPr>
      <w:ind w:firstLine="200"/>
    </w:pPr>
  </w:style>
  <w:style w:type="table" w:styleId="1084" w:customStyle="1">
    <w:name w:val="网格型1"/>
    <w:basedOn w:val="1043"/>
    <w:uiPriority w:val="0"/>
    <w:qFormat/>
    <w:pPr>
      <w:jc w:val="both"/>
      <w:widowControl w:val="off"/>
    </w:pPr>
    <w:tblPr/>
  </w:style>
  <w:style w:type="character" w:styleId="1085" w:customStyle="1">
    <w:name w:val="要点1"/>
    <w:basedOn w:val="1042"/>
    <w:link w:val="841"/>
    <w:uiPriority w:val="0"/>
    <w:qFormat/>
    <w:rPr>
      <w:b/>
      <w:bCs/>
    </w:rPr>
  </w:style>
  <w:style w:type="character" w:styleId="1086" w:customStyle="1">
    <w:name w:val="页码1"/>
    <w:basedOn w:val="1042"/>
    <w:link w:val="841"/>
    <w:uiPriority w:val="0"/>
    <w:qFormat/>
  </w:style>
  <w:style w:type="character" w:styleId="1087" w:customStyle="1">
    <w:name w:val="已访问的超链接1"/>
    <w:basedOn w:val="1042"/>
    <w:link w:val="841"/>
    <w:uiPriority w:val="0"/>
    <w:qFormat/>
    <w:rPr>
      <w:color w:val="800080"/>
      <w:u w:val="none"/>
    </w:rPr>
  </w:style>
  <w:style w:type="character" w:styleId="1088" w:customStyle="1">
    <w:name w:val="HTML 定义1"/>
    <w:basedOn w:val="1042"/>
    <w:link w:val="841"/>
    <w:uiPriority w:val="0"/>
    <w:qFormat/>
  </w:style>
  <w:style w:type="character" w:styleId="1089" w:customStyle="1">
    <w:name w:val="HTML 打字机1"/>
    <w:basedOn w:val="1042"/>
    <w:link w:val="841"/>
    <w:uiPriority w:val="0"/>
    <w:qFormat/>
    <w:rPr>
      <w:rFonts w:ascii="monospace" w:hAnsi="monospace" w:eastAsia="monospace" w:cs="monospace"/>
      <w:sz w:val="20"/>
    </w:rPr>
  </w:style>
  <w:style w:type="character" w:styleId="1090" w:customStyle="1">
    <w:name w:val="HTML 缩写1"/>
    <w:basedOn w:val="1042"/>
    <w:link w:val="841"/>
    <w:uiPriority w:val="0"/>
    <w:qFormat/>
  </w:style>
  <w:style w:type="character" w:styleId="1091" w:customStyle="1">
    <w:name w:val="HTML 变量1"/>
    <w:basedOn w:val="1042"/>
    <w:link w:val="841"/>
    <w:uiPriority w:val="0"/>
    <w:qFormat/>
  </w:style>
  <w:style w:type="character" w:styleId="1092" w:customStyle="1">
    <w:name w:val="超链接1"/>
    <w:basedOn w:val="1042"/>
    <w:link w:val="841"/>
    <w:uiPriority w:val="99"/>
    <w:qFormat/>
    <w:rPr>
      <w:color w:val="0000ff"/>
      <w:u w:val="none"/>
    </w:rPr>
  </w:style>
  <w:style w:type="character" w:styleId="1093" w:customStyle="1">
    <w:name w:val="HTML 代码1"/>
    <w:basedOn w:val="1042"/>
    <w:link w:val="841"/>
    <w:uiPriority w:val="0"/>
    <w:qFormat/>
    <w:rPr>
      <w:rFonts w:ascii="monospace" w:hAnsi="monospace" w:eastAsia="monospace" w:cs="monospace"/>
      <w:sz w:val="20"/>
    </w:rPr>
  </w:style>
  <w:style w:type="character" w:styleId="1094" w:customStyle="1">
    <w:name w:val="批注引用1"/>
    <w:link w:val="841"/>
    <w:uiPriority w:val="0"/>
    <w:qFormat/>
    <w:rPr>
      <w:sz w:val="21"/>
      <w:szCs w:val="21"/>
    </w:rPr>
  </w:style>
  <w:style w:type="character" w:styleId="1095" w:customStyle="1">
    <w:name w:val="HTML 引文1"/>
    <w:basedOn w:val="1042"/>
    <w:link w:val="841"/>
    <w:uiPriority w:val="0"/>
    <w:qFormat/>
  </w:style>
  <w:style w:type="character" w:styleId="1096" w:customStyle="1">
    <w:name w:val="HTML 键盘1"/>
    <w:basedOn w:val="1042"/>
    <w:link w:val="841"/>
    <w:uiPriority w:val="0"/>
    <w:qFormat/>
    <w:rPr>
      <w:rFonts w:ascii="monospace" w:hAnsi="monospace" w:eastAsia="monospace" w:cs="monospace"/>
      <w:sz w:val="20"/>
    </w:rPr>
  </w:style>
  <w:style w:type="character" w:styleId="1097" w:customStyle="1">
    <w:name w:val="HTML 样本1"/>
    <w:basedOn w:val="1042"/>
    <w:link w:val="841"/>
    <w:uiPriority w:val="0"/>
    <w:qFormat/>
    <w:rPr>
      <w:rFonts w:ascii="monospace" w:hAnsi="monospace" w:eastAsia="monospace" w:cs="monospace"/>
    </w:rPr>
  </w:style>
  <w:style w:type="character" w:styleId="1098" w:customStyle="1">
    <w:name w:val="标题 1 Char"/>
    <w:link w:val="1037"/>
    <w:uiPriority w:val="0"/>
    <w:qFormat/>
    <w:rPr>
      <w:rFonts w:ascii="楷体_GB2312" w:eastAsia="楷体_GB2312"/>
      <w:sz w:val="28"/>
      <w:lang w:val="en-US" w:eastAsia="zh-CN" w:bidi="ar-SA"/>
    </w:rPr>
  </w:style>
  <w:style w:type="paragraph" w:styleId="1099" w:customStyle="1">
    <w:name w:val="正文1"/>
    <w:basedOn w:val="1046"/>
    <w:next w:val="841"/>
    <w:uiPriority w:val="0"/>
    <w:qFormat/>
    <w:pPr>
      <w:ind w:firstLine="0"/>
      <w:spacing w:line="500" w:lineRule="exact"/>
    </w:pPr>
    <w:rPr>
      <w:rFonts w:hAnsi="新宋体"/>
      <w:szCs w:val="20"/>
    </w:rPr>
  </w:style>
  <w:style w:type="paragraph" w:styleId="11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01" w:customStyle="1">
    <w:name w:val="hover2"/>
    <w:basedOn w:val="1042"/>
    <w:link w:val="841"/>
    <w:uiPriority w:val="0"/>
    <w:qFormat/>
    <w:rPr>
      <w:color w:val="ffffff"/>
    </w:rPr>
  </w:style>
  <w:style w:type="character" w:styleId="1102" w:customStyle="1">
    <w:name w:val="NormalCharacter1"/>
    <w:link w:val="841"/>
    <w:uiPriority w:val="0"/>
    <w:qFormat/>
  </w:style>
  <w:style w:type="character" w:styleId="1103" w:customStyle="1">
    <w:name w:val="MSG_EN_FONT_STYLE_NAME_TEMPLATE_ROLE_NUMBER MSG_EN_FONT_STYLE_NAME_BY_ROLE_TEXT 2 + MSG_EN_FONT_STYLE_MODIFER_SIZE 8"/>
    <w:link w:val="841"/>
    <w:uiPriority w:val="99"/>
    <w:qFormat/>
    <w:rPr>
      <w:rFonts w:hint="eastAsia" w:ascii="PMingLiU" w:hAnsi="PMingLiU" w:eastAsia="PMingLiU" w:cs="PMingLiU"/>
      <w:spacing w:val="10"/>
      <w:sz w:val="16"/>
      <w:szCs w:val="16"/>
      <w:u w:val="none"/>
    </w:rPr>
  </w:style>
  <w:style w:type="character" w:styleId="1104" w:customStyle="1">
    <w:name w:val="hover"/>
    <w:basedOn w:val="1042"/>
    <w:link w:val="841"/>
    <w:uiPriority w:val="0"/>
    <w:qFormat/>
    <w:rPr>
      <w:color w:val="5fb878"/>
    </w:rPr>
  </w:style>
  <w:style w:type="character" w:styleId="1105" w:customStyle="1">
    <w:name w:val="标题2 Char"/>
    <w:link w:val="841"/>
    <w:uiPriority w:val="0"/>
    <w:qFormat/>
    <w:rPr>
      <w:rFonts w:ascii="方正楷体_GBK" w:hAnsi="Book Antiqua" w:eastAsia="方正楷体_GBK"/>
      <w:sz w:val="32"/>
      <w:lang w:val="en-US" w:eastAsia="zh-CN" w:bidi="ar-SA"/>
    </w:rPr>
  </w:style>
  <w:style w:type="character" w:styleId="1106" w:customStyle="1">
    <w:name w:val="hover1"/>
    <w:basedOn w:val="1042"/>
    <w:link w:val="841"/>
    <w:uiPriority w:val="0"/>
    <w:qFormat/>
    <w:rPr>
      <w:color w:val="5fb878"/>
    </w:rPr>
  </w:style>
  <w:style w:type="character" w:styleId="1107" w:customStyle="1">
    <w:name w:val="MSG_EN_FONT_STYLE_NAME_TEMPLATE_ROLE_NUMBER MSG_EN_FONT_STYLE_NAME_BY_ROLE_TEXT 2 + MSG_EN_FONT_STYLE_MODIFER_NAME PMingLiU"/>
    <w:link w:val="841"/>
    <w:uiPriority w:val="99"/>
    <w:qFormat/>
    <w:rPr>
      <w:rFonts w:hint="eastAsia" w:ascii="PMingLiU" w:hAnsi="PMingLiU" w:eastAsia="PMingLiU" w:cs="PMingLiU"/>
      <w:spacing w:val="30"/>
      <w:sz w:val="17"/>
      <w:szCs w:val="17"/>
      <w:u w:val="none"/>
    </w:rPr>
  </w:style>
  <w:style w:type="character" w:styleId="1108" w:customStyle="1">
    <w:name w:val="列出段落 Char"/>
    <w:link w:val="1109"/>
    <w:uiPriority w:val="0"/>
    <w:qFormat/>
    <w:rPr>
      <w:rFonts w:ascii="Calibri" w:hAnsi="Calibri"/>
      <w:sz w:val="24"/>
      <w:szCs w:val="24"/>
      <w:lang w:eastAsia="en-US" w:bidi="en-US"/>
    </w:rPr>
  </w:style>
  <w:style w:type="paragraph" w:styleId="1109" w:customStyle="1">
    <w:name w:val="列出段落1"/>
    <w:basedOn w:val="841"/>
    <w:link w:val="1108"/>
    <w:uiPriority w:val="0"/>
    <w:qFormat/>
    <w:pPr>
      <w:contextualSpacing/>
      <w:ind w:left="720"/>
      <w:jc w:val="left"/>
      <w:widowControl/>
    </w:pPr>
    <w:rPr>
      <w:rFonts w:ascii="Calibri" w:hAnsi="Calibri"/>
      <w:sz w:val="24"/>
      <w:lang w:eastAsia="en-US" w:bidi="en-US"/>
    </w:rPr>
  </w:style>
  <w:style w:type="character" w:styleId="1110" w:customStyle="1">
    <w:name w:val="jj1"/>
    <w:link w:val="841"/>
    <w:uiPriority w:val="0"/>
    <w:qFormat/>
    <w:rPr>
      <w:sz w:val="20"/>
      <w:szCs w:val="20"/>
      <w:u w:val="none"/>
    </w:rPr>
  </w:style>
  <w:style w:type="paragraph" w:styleId="1111" w:customStyle="1">
    <w:name w:val="标题2"/>
    <w:basedOn w:val="841"/>
    <w:next w:val="841"/>
    <w:uiPriority w:val="0"/>
    <w:qFormat/>
    <w:pPr>
      <w:jc w:val="center"/>
    </w:pPr>
    <w:rPr>
      <w:rFonts w:eastAsia="方正楷体_GBK"/>
    </w:rPr>
  </w:style>
  <w:style w:type="paragraph" w:styleId="1112" w:customStyle="1">
    <w:name w:val="首行缩进"/>
    <w:basedOn w:val="841"/>
    <w:uiPriority w:val="0"/>
    <w:qFormat/>
    <w:pPr>
      <w:ind w:firstLine="480"/>
    </w:pPr>
    <w:rPr>
      <w:lang w:val="zh-CN"/>
    </w:rPr>
  </w:style>
  <w:style w:type="paragraph" w:styleId="1113" w:customStyle="1">
    <w:name w:val="Blockquote"/>
    <w:basedOn w:val="841"/>
    <w:uiPriority w:val="0"/>
    <w:qFormat/>
    <w:pPr>
      <w:ind w:left="360" w:right="360"/>
      <w:jc w:val="left"/>
      <w:spacing w:before="100" w:after="100"/>
    </w:pPr>
    <w:rPr>
      <w:sz w:val="24"/>
      <w:szCs w:val="20"/>
    </w:rPr>
  </w:style>
  <w:style w:type="paragraph" w:styleId="1114" w:customStyle="1">
    <w:name w:val=" Char Char Char Char1 Char Char"/>
    <w:basedOn w:val="841"/>
    <w:uiPriority w:val="0"/>
    <w:qFormat/>
    <w:pPr>
      <w:tabs>
        <w:tab w:val="left" w:pos="360" w:leader="none"/>
      </w:tabs>
    </w:pPr>
    <w:rPr>
      <w:sz w:val="24"/>
    </w:rPr>
  </w:style>
  <w:style w:type="paragraph" w:styleId="1115" w:customStyle="1">
    <w:name w:val="TOC 标题"/>
    <w:basedOn w:val="1037"/>
    <w:next w:val="841"/>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116" w:customStyle="1">
    <w:name w:val="普通正文"/>
    <w:basedOn w:val="841"/>
    <w:uiPriority w:val="0"/>
    <w:qFormat/>
    <w:pPr>
      <w:ind w:firstLine="480"/>
      <w:jc w:val="left"/>
      <w:spacing w:before="120" w:after="120" w:line="360" w:lineRule="auto"/>
    </w:pPr>
    <w:rPr>
      <w:rFonts w:ascii="Arial" w:hAnsi="Arial"/>
      <w:sz w:val="24"/>
    </w:rPr>
  </w:style>
  <w:style w:type="paragraph" w:styleId="1117" w:customStyle="1">
    <w:name w:val="MSG_EN_FONT_STYLE_NAME_TEMPLATE_ROLE_NUMBER MSG_EN_FONT_STYLE_NAME_BY_ROLE_TEXT 2"/>
    <w:basedOn w:val="841"/>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118" w:customStyle="1">
    <w:name w:val="正文 1.1.1"/>
    <w:basedOn w:val="841"/>
    <w:next w:val="841"/>
    <w:uiPriority w:val="0"/>
    <w:qFormat/>
    <w:pPr>
      <w:numPr>
        <w:ilvl w:val="2"/>
        <w:numId w:val="1"/>
      </w:numPr>
      <w:spacing w:line="360" w:lineRule="auto"/>
      <w:outlineLvl w:val="2"/>
    </w:pPr>
    <w:rPr>
      <w:rFonts w:ascii="宋体" w:hAnsi="宋体"/>
      <w:color w:val="000000"/>
      <w:sz w:val="28"/>
      <w:szCs w:val="21"/>
    </w:rPr>
  </w:style>
  <w:style w:type="paragraph" w:styleId="1119" w:customStyle="1">
    <w:name w:val="纯文本2"/>
    <w:basedOn w:val="841"/>
    <w:uiPriority w:val="0"/>
    <w:qFormat/>
    <w:pPr>
      <w:jc w:val="both"/>
      <w:widowControl w:val="off"/>
    </w:pPr>
    <w:rPr>
      <w:rFonts w:ascii="宋体" w:hAnsi="Courier New" w:eastAsia="楷体_GB2312"/>
      <w:sz w:val="26"/>
      <w:szCs w:val="20"/>
    </w:rPr>
  </w:style>
  <w:style w:type="paragraph" w:styleId="1120" w:customStyle="1">
    <w:name w:val="第四级"/>
    <w:basedOn w:val="841"/>
    <w:next w:val="841"/>
    <w:uiPriority w:val="0"/>
    <w:qFormat/>
    <w:pPr>
      <w:numPr>
        <w:ilvl w:val="3"/>
        <w:numId w:val="1"/>
      </w:numPr>
      <w:spacing w:line="360" w:lineRule="auto"/>
    </w:pPr>
    <w:rPr>
      <w:rFonts w:ascii="宋体" w:hAnsi="宋体" w:eastAsia="仿宋"/>
      <w:sz w:val="28"/>
      <w:szCs w:val="21"/>
    </w:rPr>
  </w:style>
  <w:style w:type="paragraph" w:styleId="1121" w:customStyle="1">
    <w:name w:val="Char Char Char Char"/>
    <w:basedOn w:val="1048"/>
    <w:uiPriority w:val="0"/>
    <w:qFormat/>
    <w:pPr>
      <w:spacing w:line="360" w:lineRule="auto"/>
    </w:pPr>
    <w:rPr>
      <w:rFonts w:ascii="Tahoma" w:hAnsi="Tahoma"/>
      <w:sz w:val="24"/>
    </w:rPr>
  </w:style>
  <w:style w:type="paragraph" w:styleId="1122" w:customStyle="1">
    <w:name w:val="正文（缩进）"/>
    <w:basedOn w:val="841"/>
    <w:uiPriority w:val="0"/>
    <w:qFormat/>
    <w:pPr>
      <w:ind w:firstLine="480"/>
      <w:spacing w:before="156" w:after="156"/>
    </w:pPr>
  </w:style>
  <w:style w:type="paragraph" w:styleId="112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列出段落"/>
    <w:basedOn w:val="841"/>
    <w:next w:val="841"/>
    <w:uiPriority w:val="34"/>
    <w:qFormat/>
    <w:pPr>
      <w:ind w:firstLine="420"/>
    </w:pPr>
    <w:rPr>
      <w:rFonts w:ascii="Calibri" w:hAnsi="Calibri"/>
      <w:szCs w:val="22"/>
    </w:rPr>
  </w:style>
  <w:style w:type="paragraph" w:styleId="1125" w:customStyle="1">
    <w:name w:val="标题3"/>
    <w:basedOn w:val="841"/>
    <w:next w:val="841"/>
    <w:uiPriority w:val="0"/>
    <w:qFormat/>
    <w:rPr>
      <w:rFonts w:eastAsia="方正黑体_GBK"/>
    </w:rPr>
  </w:style>
  <w:style w:type="paragraph" w:styleId="11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7" w:customStyle="1">
    <w:name w:val="Char Char Char Char1 Char Char Char"/>
    <w:basedOn w:val="1048"/>
    <w:uiPriority w:val="0"/>
    <w:qFormat/>
    <w:pPr>
      <w:spacing w:line="360" w:lineRule="auto"/>
    </w:pPr>
    <w:rPr>
      <w:rFonts w:ascii="Tahoma" w:hAnsi="Tahoma"/>
      <w:sz w:val="24"/>
    </w:rPr>
  </w:style>
  <w:style w:type="paragraph" w:styleId="1128" w:customStyle="1">
    <w:name w:val="WPSOffice手动目录 1"/>
    <w:uiPriority w:val="0"/>
    <w:qFormat/>
    <w:rPr>
      <w:rFonts w:hint="default" w:ascii="Times New Roman" w:hAnsi="Times New Roman" w:eastAsia="宋体" w:cs="Times New Roman"/>
      <w:lang w:val="en-US" w:eastAsia="zh-CN" w:bidi="ar-SA"/>
    </w:rPr>
  </w:style>
  <w:style w:type="paragraph" w:styleId="1129" w:customStyle="1">
    <w:name w:val="正文 第一章"/>
    <w:basedOn w:val="841"/>
    <w:next w:val="1130"/>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30" w:customStyle="1">
    <w:name w:val="正文 1.1"/>
    <w:basedOn w:val="841"/>
    <w:next w:val="111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31" w:customStyle="1">
    <w:name w:val="默认段落字体 Para Char Char Char Char Char Char Char Char Char1 Char Char Char Char Char Char Char"/>
    <w:basedOn w:val="1048"/>
    <w:uiPriority w:val="0"/>
    <w:qFormat/>
    <w:rPr>
      <w:rFonts w:ascii="Tahoma" w:hAnsi="Tahoma"/>
      <w:sz w:val="24"/>
    </w:rPr>
  </w:style>
  <w:style w:type="paragraph" w:styleId="1132"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33" w:customStyle="1">
    <w:name w:val="标题1"/>
    <w:basedOn w:val="841"/>
    <w:next w:val="841"/>
    <w:uiPriority w:val="0"/>
    <w:qFormat/>
    <w:pPr>
      <w:jc w:val="center"/>
      <w:spacing w:line="700" w:lineRule="atLeast"/>
      <w:tabs>
        <w:tab w:val="left" w:pos="9193" w:leader="none"/>
        <w:tab w:val="left" w:pos="9827" w:leader="none"/>
      </w:tabs>
    </w:pPr>
    <w:rPr>
      <w:rFonts w:eastAsia="方正小标宋_GBK"/>
      <w:sz w:val="44"/>
    </w:rPr>
  </w:style>
  <w:style w:type="paragraph" w:styleId="1134" w:customStyle="1">
    <w:name w:val="HTML 预先格式化"/>
    <w:basedOn w:val="8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35" w:customStyle="1">
    <w:name w:val="Table Paragraph"/>
    <w:basedOn w:val="841"/>
    <w:uiPriority w:val="1"/>
    <w:qFormat/>
    <w:pPr>
      <w:jc w:val="left"/>
    </w:pPr>
    <w:rPr>
      <w:sz w:val="24"/>
    </w:rPr>
  </w:style>
  <w:style w:type="paragraph" w:styleId="113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37" w:customStyle="1">
    <w:name w:val="正文空2格  1."/>
    <w:basedOn w:val="841"/>
    <w:uiPriority w:val="0"/>
    <w:qFormat/>
    <w:pPr>
      <w:ind w:firstLine="480"/>
      <w:spacing w:line="360" w:lineRule="auto"/>
    </w:pPr>
    <w:rPr>
      <w:rFonts w:ascii="宋体" w:eastAsia="仿宋" w:cs="宋体"/>
      <w:sz w:val="28"/>
      <w:szCs w:val="20"/>
    </w:rPr>
  </w:style>
  <w:style w:type="paragraph" w:styleId="1138" w:customStyle="1">
    <w:name w:val="文档正文"/>
    <w:basedOn w:val="841"/>
    <w:uiPriority w:val="0"/>
    <w:unhideWhenUsed/>
    <w:qFormat/>
    <w:pPr>
      <w:ind w:firstLine="482"/>
      <w:spacing w:before="60" w:after="60" w:line="360" w:lineRule="auto"/>
    </w:pPr>
  </w:style>
  <w:style w:type="paragraph" w:styleId="1139" w:customStyle="1">
    <w:name w:val="xl47"/>
    <w:basedOn w:val="84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40" w:customStyle="1">
    <w:name w:val="Coms Alinea"/>
    <w:uiPriority w:val="0"/>
    <w:qFormat/>
    <w:pPr>
      <w:widowControl w:val="off"/>
    </w:pPr>
    <w:rPr>
      <w:rFonts w:hint="default" w:ascii="Arial" w:hAnsi="Arial" w:eastAsia="宋体" w:cs="Arial"/>
      <w:lang w:val="en-US" w:eastAsia="zh-CN" w:bidi="ar-SA"/>
    </w:rPr>
  </w:style>
  <w:style w:type="paragraph" w:styleId="1141" w:customStyle="1">
    <w:name w:val="BioQuote Tekst"/>
    <w:basedOn w:val="841"/>
    <w:uiPriority w:val="0"/>
    <w:qFormat/>
    <w:pPr>
      <w:ind w:right="-1"/>
    </w:pPr>
    <w:rPr>
      <w:rFonts w:ascii="Arial" w:hAnsi="Arial"/>
      <w:sz w:val="22"/>
      <w:szCs w:val="20"/>
      <w:lang w:eastAsia="en-US"/>
    </w:rPr>
  </w:style>
  <w:style w:type="paragraph" w:styleId="1142" w:customStyle="1">
    <w:name w:val="Char"/>
    <w:basedOn w:val="841"/>
    <w:uiPriority w:val="0"/>
    <w:qFormat/>
    <w:pPr>
      <w:tabs>
        <w:tab w:val="left" w:pos="360" w:leader="none"/>
      </w:tabs>
    </w:pPr>
    <w:rPr>
      <w:sz w:val="24"/>
    </w:rPr>
  </w:style>
  <w:style w:type="paragraph" w:styleId="1143" w:customStyle="1">
    <w:name w:val=" Char"/>
    <w:basedOn w:val="841"/>
    <w:uiPriority w:val="0"/>
    <w:qFormat/>
    <w:rPr>
      <w:rFonts w:ascii="Tahoma" w:hAnsi="Tahoma"/>
      <w:sz w:val="24"/>
      <w:szCs w:val="20"/>
    </w:rPr>
  </w:style>
  <w:style w:type="paragraph" w:styleId="1144" w:customStyle="1">
    <w:name w:val="正文首行缩进11"/>
    <w:basedOn w:val="1145"/>
    <w:next w:val="841"/>
    <w:uiPriority w:val="99"/>
    <w:unhideWhenUsed/>
    <w:qFormat/>
    <w:pPr>
      <w:ind w:firstLine="420"/>
    </w:pPr>
    <w:rPr>
      <w:szCs w:val="24"/>
    </w:rPr>
  </w:style>
  <w:style w:type="paragraph" w:styleId="1145" w:customStyle="1">
    <w:name w:val="正文文本111"/>
    <w:basedOn w:val="841"/>
    <w:next w:val="841"/>
    <w:uiPriority w:val="0"/>
    <w:qFormat/>
    <w:rPr>
      <w:rFonts w:eastAsia="楷体_GB2312"/>
      <w:b/>
      <w:bCs/>
      <w:color w:val="ff0000"/>
      <w:sz w:val="32"/>
      <w:szCs w:val="32"/>
      <w:lang w:val="zh-CN"/>
    </w:rPr>
  </w:style>
  <w:style w:type="paragraph" w:styleId="1146" w:customStyle="1">
    <w:name w:val="标题 211"/>
    <w:basedOn w:val="841"/>
    <w:next w:val="841"/>
    <w:uiPriority w:val="0"/>
    <w:qFormat/>
    <w:pPr>
      <w:numPr>
        <w:ilvl w:val="1"/>
        <w:numId w:val="3"/>
      </w:numPr>
      <w:keepNext/>
      <w:spacing w:line="360" w:lineRule="auto"/>
      <w:outlineLvl w:val="1"/>
    </w:pPr>
    <w:rPr>
      <w:rFonts w:ascii="Times New Roman" w:hAnsi="Times New Roman" w:eastAsia="黑体" w:cs="Times New Roman"/>
      <w:b/>
      <w:sz w:val="28"/>
      <w:szCs w:val="20"/>
    </w:rPr>
  </w:style>
  <w:style w:type="paragraph" w:styleId="1147" w:customStyle="1">
    <w:name w:val="Body text|1"/>
    <w:basedOn w:val="841"/>
    <w:uiPriority w:val="0"/>
    <w:qFormat/>
    <w:pPr>
      <w:ind w:firstLine="400"/>
      <w:spacing w:line="446" w:lineRule="auto"/>
      <w:shd w:val="clear" w:color="auto" w:fill="auto"/>
      <w:widowControl w:val="off"/>
    </w:pPr>
    <w:rPr>
      <w:rFonts w:ascii="宋体" w:hAnsi="宋体" w:eastAsia="宋体" w:cs="宋体"/>
      <w:u w:val="none"/>
      <w:shd w:val="clear" w:color="auto" w:fill="auto"/>
      <w:lang w:val="zh-TW" w:eastAsia="zh-TW" w:bidi="zh-TW"/>
    </w:rPr>
  </w:style>
  <w:style w:type="paragraph" w:styleId="1148" w:customStyle="1">
    <w:name w:val="TOC 标题1"/>
    <w:basedOn w:val="1037"/>
    <w:next w:val="841"/>
    <w:uiPriority w:val="99"/>
    <w:qFormat/>
    <w:pPr>
      <w:spacing w:before="480" w:line="276" w:lineRule="auto"/>
      <w:tabs>
        <w:tab w:val="left" w:pos="1800" w:leader="none"/>
      </w:tabs>
      <w:outlineLvl w:val="9"/>
    </w:pPr>
    <w:rPr>
      <w:rFonts w:ascii="仿宋" w:hAnsi="仿宋" w:eastAsia="仿宋"/>
      <w:color w:val="000000"/>
      <w:sz w:val="32"/>
      <w:szCs w:val="32"/>
    </w:rPr>
  </w:style>
  <w:style w:type="paragraph" w:styleId="1149" w:customStyle="1">
    <w:name w:val="正文2"/>
    <w:basedOn w:val="841"/>
    <w:uiPriority w:val="0"/>
    <w:qFormat/>
    <w:pPr>
      <w:ind w:firstLine="200"/>
      <w:spacing w:before="156" w:line="360" w:lineRule="auto"/>
    </w:pPr>
    <w:rPr>
      <w:sz w:val="24"/>
      <w:szCs w:val="20"/>
    </w:rPr>
  </w:style>
  <w:style w:type="character" w:styleId="1150" w:customStyle="1">
    <w:name w:val="fontstyle01"/>
    <w:basedOn w:val="1042"/>
    <w:link w:val="841"/>
    <w:uiPriority w:val="0"/>
    <w:qFormat/>
    <w:rPr>
      <w:rFonts w:hint="eastAsia" w:ascii="宋体" w:hAnsi="宋体" w:eastAsia="宋体"/>
      <w:color w:val="000000"/>
      <w:sz w:val="22"/>
      <w:szCs w:val="22"/>
    </w:rPr>
  </w:style>
  <w:style w:type="paragraph" w:styleId="1151" w:customStyle="1">
    <w:name w:val="_Style 11"/>
    <w:basedOn w:val="841"/>
    <w:uiPriority w:val="0"/>
    <w:qFormat/>
    <w:pPr>
      <w:ind w:firstLine="420"/>
    </w:pPr>
    <w:rPr>
      <w:rFonts w:ascii="Calibri" w:hAnsi="Calibri"/>
    </w:rPr>
  </w:style>
  <w:style w:type="table" w:styleId="1152" w:customStyle="1">
    <w:name w:val="Table Normal"/>
    <w:uiPriority w:val="2"/>
    <w:unhideWhenUsed/>
    <w:qFormat/>
    <w:rPr>
      <w:lang w:val="en-US" w:eastAsia="zh-CN" w:bidi="ar-SA"/>
    </w:rPr>
    <w:tblPr/>
  </w:style>
  <w:style w:type="numbering" w:styleId="98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赣榆办事处</cp:lastModifiedBy>
  <cp:revision>14</cp:revision>
  <dcterms:created xsi:type="dcterms:W3CDTF">2020-11-06T03:38:00Z</dcterms:created>
  <dcterms:modified xsi:type="dcterms:W3CDTF">2025-12-15T01:39:23Z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eyJoZGlkIjoiMDE2MjkxMTFmOTQyYjY2N2EyMGVhYjAyYTQzOGNlNjEiLCJ1c2VySWQiOiIxMTUzNzgzODM1In0=</vt:lpwstr>
  </property>
  <property fmtid="{D5CDD505-2E9C-101B-9397-08002B2CF9AE}" pid="3" name="KSOProductBuildVer">
    <vt:lpwstr>2052-12.1.0.24034</vt:lpwstr>
  </property>
  <property fmtid="{D5CDD505-2E9C-101B-9397-08002B2CF9AE}" pid="4" name="ICV">
    <vt:lpwstr>08949C4A17C74A9AA0B2F4AF33C32432_13</vt:lpwstr>
  </property>
</Properties>
</file>